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9561B4A" w:rsidR="00CD4C7B" w:rsidRPr="00C639BE" w:rsidRDefault="003A41EF" w:rsidP="00CD4C7B">
      <w:pPr>
        <w:pStyle w:val="Header"/>
        <w:tabs>
          <w:tab w:val="right" w:pos="9639"/>
        </w:tabs>
        <w:rPr>
          <w:rFonts w:cs="Arial"/>
          <w:bCs/>
          <w:i/>
          <w:noProof w:val="0"/>
          <w:sz w:val="24"/>
          <w:szCs w:val="24"/>
        </w:rPr>
      </w:pPr>
      <w:r w:rsidRPr="00C639BE">
        <w:rPr>
          <w:rFonts w:cs="Arial"/>
          <w:bCs/>
          <w:noProof w:val="0"/>
          <w:sz w:val="24"/>
          <w:szCs w:val="24"/>
        </w:rPr>
        <w:t xml:space="preserve">3GPP TSG-RAN WG2 Meeting </w:t>
      </w:r>
      <w:r w:rsidR="00F941DF" w:rsidRPr="00C639BE">
        <w:rPr>
          <w:rFonts w:cs="Arial"/>
          <w:bCs/>
          <w:noProof w:val="0"/>
          <w:sz w:val="24"/>
          <w:szCs w:val="24"/>
        </w:rPr>
        <w:t>#</w:t>
      </w:r>
      <w:r w:rsidR="00B706CD" w:rsidRPr="00C639BE">
        <w:rPr>
          <w:rFonts w:cs="Arial"/>
          <w:bCs/>
          <w:noProof w:val="0"/>
          <w:sz w:val="24"/>
          <w:szCs w:val="24"/>
        </w:rPr>
        <w:t>10</w:t>
      </w:r>
      <w:r w:rsidR="006571A7">
        <w:rPr>
          <w:rFonts w:cs="Arial"/>
          <w:bCs/>
          <w:noProof w:val="0"/>
          <w:sz w:val="24"/>
          <w:szCs w:val="24"/>
        </w:rPr>
        <w:t>6</w:t>
      </w:r>
      <w:r w:rsidR="00CD4C7B" w:rsidRPr="00C639BE">
        <w:rPr>
          <w:rFonts w:cs="Arial"/>
          <w:bCs/>
          <w:noProof w:val="0"/>
          <w:sz w:val="24"/>
          <w:szCs w:val="24"/>
        </w:rPr>
        <w:tab/>
      </w:r>
      <w:r w:rsidR="00762844" w:rsidRPr="00762844">
        <w:rPr>
          <w:rFonts w:cs="Arial"/>
          <w:bCs/>
          <w:noProof w:val="0"/>
          <w:sz w:val="24"/>
          <w:szCs w:val="24"/>
        </w:rPr>
        <w:t>R2-1907980</w:t>
      </w:r>
    </w:p>
    <w:p w14:paraId="231362B2" w14:textId="657A40E4" w:rsidR="00CD4C7B" w:rsidRPr="00C639BE" w:rsidRDefault="006571A7" w:rsidP="00CD4C7B">
      <w:pPr>
        <w:pStyle w:val="Header"/>
        <w:tabs>
          <w:tab w:val="right" w:pos="9639"/>
        </w:tabs>
        <w:rPr>
          <w:rFonts w:cs="Arial"/>
          <w:bCs/>
          <w:noProof w:val="0"/>
          <w:sz w:val="24"/>
          <w:szCs w:val="24"/>
        </w:rPr>
      </w:pPr>
      <w:r>
        <w:rPr>
          <w:rFonts w:eastAsia="SimSun" w:cs="Arial"/>
          <w:noProof w:val="0"/>
          <w:sz w:val="24"/>
          <w:szCs w:val="24"/>
          <w:lang w:eastAsia="zh-CN"/>
        </w:rPr>
        <w:t>Reno</w:t>
      </w:r>
      <w:r w:rsidR="008F396F" w:rsidRPr="00C639BE">
        <w:rPr>
          <w:rFonts w:eastAsia="SimSun" w:cs="Arial"/>
          <w:noProof w:val="0"/>
          <w:sz w:val="24"/>
          <w:szCs w:val="24"/>
          <w:lang w:eastAsia="zh-CN"/>
        </w:rPr>
        <w:t xml:space="preserve">, </w:t>
      </w:r>
      <w:r>
        <w:rPr>
          <w:rFonts w:eastAsia="SimSun" w:cs="Arial"/>
          <w:noProof w:val="0"/>
          <w:sz w:val="24"/>
          <w:szCs w:val="24"/>
          <w:lang w:eastAsia="zh-CN"/>
        </w:rPr>
        <w:t>Nevada, USA</w:t>
      </w:r>
      <w:r w:rsidR="008F396F" w:rsidRPr="00C639BE">
        <w:rPr>
          <w:rFonts w:eastAsia="SimSun" w:cs="Arial"/>
          <w:noProof w:val="0"/>
          <w:sz w:val="24"/>
          <w:szCs w:val="24"/>
          <w:lang w:eastAsia="zh-CN"/>
        </w:rPr>
        <w:t xml:space="preserve">, </w:t>
      </w:r>
      <w:r>
        <w:rPr>
          <w:rFonts w:eastAsia="SimSun" w:cs="Arial"/>
          <w:noProof w:val="0"/>
          <w:sz w:val="24"/>
          <w:szCs w:val="24"/>
          <w:lang w:eastAsia="zh-CN"/>
        </w:rPr>
        <w:t>13</w:t>
      </w:r>
      <w:r w:rsidR="00B706CD" w:rsidRPr="00C639BE">
        <w:rPr>
          <w:rFonts w:eastAsia="SimSun" w:cs="Arial"/>
          <w:noProof w:val="0"/>
          <w:sz w:val="24"/>
          <w:szCs w:val="24"/>
          <w:lang w:eastAsia="zh-CN"/>
        </w:rPr>
        <w:t xml:space="preserve"> –</w:t>
      </w:r>
      <w:r w:rsidR="008F396F" w:rsidRPr="00C639BE">
        <w:rPr>
          <w:rFonts w:eastAsia="SimSun" w:cs="Arial"/>
          <w:noProof w:val="0"/>
          <w:sz w:val="24"/>
          <w:szCs w:val="24"/>
          <w:lang w:eastAsia="zh-CN"/>
        </w:rPr>
        <w:t xml:space="preserve"> </w:t>
      </w:r>
      <w:r w:rsidR="00B706CD" w:rsidRPr="00C639BE">
        <w:rPr>
          <w:rFonts w:eastAsia="SimSun" w:cs="Arial"/>
          <w:noProof w:val="0"/>
          <w:sz w:val="24"/>
          <w:szCs w:val="24"/>
          <w:lang w:eastAsia="zh-CN"/>
        </w:rPr>
        <w:t>1</w:t>
      </w:r>
      <w:r>
        <w:rPr>
          <w:rFonts w:eastAsia="SimSun" w:cs="Arial"/>
          <w:noProof w:val="0"/>
          <w:sz w:val="24"/>
          <w:szCs w:val="24"/>
          <w:lang w:eastAsia="zh-CN"/>
        </w:rPr>
        <w:t>7</w:t>
      </w:r>
      <w:r w:rsidR="00B706CD" w:rsidRPr="00C639BE">
        <w:rPr>
          <w:rFonts w:eastAsia="SimSun" w:cs="Arial"/>
          <w:noProof w:val="0"/>
          <w:sz w:val="24"/>
          <w:szCs w:val="24"/>
          <w:lang w:eastAsia="zh-CN"/>
        </w:rPr>
        <w:t xml:space="preserve"> </w:t>
      </w:r>
      <w:r>
        <w:rPr>
          <w:rFonts w:eastAsia="SimSun" w:cs="Arial"/>
          <w:noProof w:val="0"/>
          <w:sz w:val="24"/>
          <w:szCs w:val="24"/>
          <w:lang w:eastAsia="zh-CN"/>
        </w:rPr>
        <w:t xml:space="preserve">May </w:t>
      </w:r>
      <w:r w:rsidR="00B706CD" w:rsidRPr="00C639BE">
        <w:rPr>
          <w:rFonts w:eastAsia="SimSun" w:cs="Arial"/>
          <w:noProof w:val="0"/>
          <w:sz w:val="24"/>
          <w:szCs w:val="24"/>
          <w:lang w:eastAsia="zh-CN"/>
        </w:rPr>
        <w:t>2019</w:t>
      </w:r>
      <w:r w:rsidR="00364B41" w:rsidRPr="00C639BE">
        <w:rPr>
          <w:rFonts w:eastAsia="SimSun" w:cs="Arial"/>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4E0776BB"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237FF5" w:rsidRPr="00C639BE">
        <w:rPr>
          <w:rFonts w:cs="Arial"/>
          <w:b/>
          <w:bCs/>
          <w:sz w:val="24"/>
          <w:szCs w:val="24"/>
          <w:lang w:eastAsia="ja-JP"/>
        </w:rPr>
        <w:t>11.9.3</w:t>
      </w:r>
      <w:r w:rsidR="00762844">
        <w:rPr>
          <w:rFonts w:cs="Arial"/>
          <w:b/>
          <w:bCs/>
          <w:sz w:val="24"/>
          <w:szCs w:val="24"/>
          <w:lang w:eastAsia="ja-JP"/>
        </w:rPr>
        <w:t>.1</w:t>
      </w:r>
      <w:bookmarkStart w:id="0" w:name="_GoBack"/>
      <w:bookmarkEnd w:id="0"/>
    </w:p>
    <w:p w14:paraId="6A1BC0C1" w14:textId="586B0968" w:rsidR="00CD4C7B" w:rsidRPr="00C639BE" w:rsidRDefault="00CD4C7B" w:rsidP="00CD4C7B">
      <w:pPr>
        <w:tabs>
          <w:tab w:val="left" w:pos="1985"/>
        </w:tabs>
        <w:ind w:left="1985" w:hanging="1985"/>
        <w:rPr>
          <w:rFonts w:ascii="Arial" w:hAnsi="Arial" w:cs="Arial"/>
          <w:b/>
          <w:bCs/>
          <w:sz w:val="24"/>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p>
    <w:p w14:paraId="45BE90BE" w14:textId="03E1C56F"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806BCC" w:rsidRPr="00C639BE">
        <w:rPr>
          <w:rFonts w:ascii="Arial" w:hAnsi="Arial" w:cs="Arial"/>
          <w:b/>
          <w:bCs/>
          <w:sz w:val="24"/>
        </w:rPr>
        <w:t xml:space="preserve">Discussion on </w:t>
      </w:r>
      <w:r w:rsidR="00C44D50">
        <w:rPr>
          <w:rFonts w:ascii="Arial" w:hAnsi="Arial" w:cs="Arial"/>
          <w:b/>
          <w:bCs/>
          <w:sz w:val="24"/>
        </w:rPr>
        <w:t>CHO execution condition</w:t>
      </w:r>
    </w:p>
    <w:p w14:paraId="3AC3A0B1" w14:textId="7D548D69"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7B55D5" w:rsidRPr="00C639BE">
        <w:rPr>
          <w:rFonts w:ascii="Arial" w:hAnsi="Arial" w:cs="Arial"/>
          <w:b/>
          <w:bCs/>
          <w:sz w:val="24"/>
        </w:rPr>
        <w:t>NR_Mob_Enh -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74DCC080" w:rsidR="001070D6" w:rsidRPr="00C639BE" w:rsidRDefault="00B91A33" w:rsidP="00CD4C7B">
      <w:pPr>
        <w:rPr>
          <w:rFonts w:ascii="Arial" w:hAnsi="Arial" w:cs="Arial"/>
        </w:rPr>
      </w:pPr>
      <w:r w:rsidRPr="00C639BE">
        <w:rPr>
          <w:rFonts w:ascii="Arial" w:hAnsi="Arial" w:cs="Arial"/>
        </w:rPr>
        <w:t>RAN#80 plenary approved a Work Item (WI) titled “</w:t>
      </w:r>
      <w:r w:rsidR="00461F90" w:rsidRPr="00C639BE">
        <w:rPr>
          <w:rFonts w:ascii="Arial" w:hAnsi="Arial" w:cs="Arial"/>
        </w:rPr>
        <w:t>NR mobility enhancements</w:t>
      </w:r>
      <w:r w:rsidRPr="00C639BE">
        <w:rPr>
          <w:rFonts w:ascii="Arial" w:hAnsi="Arial" w:cs="Arial"/>
        </w:rPr>
        <w:t>”</w:t>
      </w:r>
      <w:r w:rsidR="00197620" w:rsidRPr="00C639BE">
        <w:rPr>
          <w:rFonts w:ascii="Arial" w:hAnsi="Arial" w:cs="Arial"/>
        </w:rPr>
        <w:t xml:space="preserve"> to </w:t>
      </w:r>
      <w:r w:rsidR="008E4E9B" w:rsidRPr="00C639BE">
        <w:rPr>
          <w:rFonts w:ascii="Arial" w:hAnsi="Arial" w:cs="Arial"/>
        </w:rPr>
        <w:t xml:space="preserve">enhance the basic </w:t>
      </w:r>
      <w:r w:rsidR="00197620" w:rsidRPr="00C639BE">
        <w:rPr>
          <w:rFonts w:ascii="Arial" w:hAnsi="Arial" w:cs="Arial"/>
        </w:rPr>
        <w:t xml:space="preserve">mobility </w:t>
      </w:r>
      <w:r w:rsidR="008E4E9B" w:rsidRPr="00C639BE">
        <w:rPr>
          <w:rFonts w:ascii="Arial" w:hAnsi="Arial" w:cs="Arial"/>
        </w:rPr>
        <w:t xml:space="preserve">functions </w:t>
      </w:r>
      <w:r w:rsidR="00806BCC" w:rsidRPr="00C639BE">
        <w:rPr>
          <w:rFonts w:ascii="Arial" w:hAnsi="Arial" w:cs="Arial"/>
        </w:rPr>
        <w:t>available</w:t>
      </w:r>
      <w:r w:rsidR="008E4E9B" w:rsidRPr="00C639BE">
        <w:rPr>
          <w:rFonts w:ascii="Arial" w:hAnsi="Arial" w:cs="Arial"/>
        </w:rPr>
        <w:t xml:space="preserve"> in NR </w:t>
      </w:r>
      <w:r w:rsidR="00237FF5" w:rsidRPr="00C639BE">
        <w:rPr>
          <w:rFonts w:ascii="Arial" w:hAnsi="Arial" w:cs="Arial"/>
        </w:rPr>
        <w:t>R</w:t>
      </w:r>
      <w:r w:rsidR="008E4E9B" w:rsidRPr="00C639BE">
        <w:rPr>
          <w:rFonts w:ascii="Arial" w:hAnsi="Arial" w:cs="Arial"/>
        </w:rPr>
        <w:t>elease</w:t>
      </w:r>
      <w:r w:rsidR="00237FF5" w:rsidRPr="00C639BE">
        <w:rPr>
          <w:rFonts w:ascii="Arial" w:hAnsi="Arial" w:cs="Arial"/>
        </w:rPr>
        <w:t xml:space="preserve"> </w:t>
      </w:r>
      <w:r w:rsidR="008E4E9B" w:rsidRPr="00C639BE">
        <w:rPr>
          <w:rFonts w:ascii="Arial" w:hAnsi="Arial" w:cs="Arial"/>
        </w:rPr>
        <w:t>15</w:t>
      </w:r>
      <w:r w:rsidR="00806BCC" w:rsidRPr="00C639BE">
        <w:rPr>
          <w:rFonts w:ascii="Arial" w:hAnsi="Arial" w:cs="Arial"/>
        </w:rPr>
        <w:t>[1]</w:t>
      </w:r>
      <w:r w:rsidR="00197620" w:rsidRPr="00C639BE">
        <w:rPr>
          <w:rFonts w:ascii="Arial" w:hAnsi="Arial" w:cs="Arial"/>
        </w:rPr>
        <w:t xml:space="preserve">. </w:t>
      </w:r>
      <w:r w:rsidR="00C44D50">
        <w:rPr>
          <w:rFonts w:ascii="Arial" w:hAnsi="Arial" w:cs="Arial"/>
        </w:rPr>
        <w:t xml:space="preserve">The below FFS were </w:t>
      </w:r>
      <w:r w:rsidR="00FB228D">
        <w:rPr>
          <w:rFonts w:ascii="Arial" w:hAnsi="Arial" w:cs="Arial"/>
        </w:rPr>
        <w:t>captured</w:t>
      </w:r>
      <w:r w:rsidR="00C44D50">
        <w:rPr>
          <w:rFonts w:ascii="Arial" w:hAnsi="Arial" w:cs="Arial"/>
        </w:rPr>
        <w:t xml:space="preserve"> during RAN2 #105bis meeting</w:t>
      </w:r>
      <w:r w:rsidR="00B15949" w:rsidRPr="00C639BE">
        <w:rPr>
          <w:rFonts w:ascii="Arial" w:hAnsi="Arial" w:cs="Arial"/>
        </w:rPr>
        <w:t>:</w:t>
      </w:r>
    </w:p>
    <w:tbl>
      <w:tblPr>
        <w:tblStyle w:val="TableGrid"/>
        <w:tblW w:w="0" w:type="auto"/>
        <w:tblLook w:val="04A0" w:firstRow="1" w:lastRow="0" w:firstColumn="1" w:lastColumn="0" w:noHBand="0" w:noVBand="1"/>
      </w:tblPr>
      <w:tblGrid>
        <w:gridCol w:w="9631"/>
      </w:tblGrid>
      <w:tr w:rsidR="00806BCC" w:rsidRPr="00C639BE" w14:paraId="365E07B7" w14:textId="77777777" w:rsidTr="00806BCC">
        <w:tc>
          <w:tcPr>
            <w:tcW w:w="9631" w:type="dxa"/>
          </w:tcPr>
          <w:p w14:paraId="7377D8C7" w14:textId="77777777" w:rsidR="00C44D50" w:rsidRPr="00C44D50" w:rsidRDefault="00C44D50" w:rsidP="00C44D50">
            <w:pPr>
              <w:overflowPunct w:val="0"/>
              <w:autoSpaceDE w:val="0"/>
              <w:autoSpaceDN w:val="0"/>
              <w:adjustRightInd w:val="0"/>
              <w:spacing w:afterLines="50" w:after="120"/>
              <w:ind w:right="-96"/>
              <w:textAlignment w:val="baseline"/>
              <w:rPr>
                <w:rFonts w:ascii="Arial" w:hAnsi="Arial" w:cs="Arial"/>
              </w:rPr>
            </w:pPr>
            <w:r w:rsidRPr="00C44D50">
              <w:rPr>
                <w:rFonts w:ascii="Arial" w:hAnsi="Arial" w:cs="Arial"/>
              </w:rPr>
              <w:t>2</w:t>
            </w:r>
            <w:r w:rsidRPr="00C44D50">
              <w:rPr>
                <w:rFonts w:ascii="Arial" w:hAnsi="Arial" w:cs="Arial"/>
              </w:rPr>
              <w:tab/>
              <w:t>Cell level quality is used as baseline for CHO execution condition;</w:t>
            </w:r>
          </w:p>
          <w:p w14:paraId="57C44D6B" w14:textId="77777777" w:rsidR="00C44D50" w:rsidRPr="00C44D50" w:rsidRDefault="00C44D50" w:rsidP="00C44D50">
            <w:pPr>
              <w:overflowPunct w:val="0"/>
              <w:autoSpaceDE w:val="0"/>
              <w:autoSpaceDN w:val="0"/>
              <w:adjustRightInd w:val="0"/>
              <w:spacing w:afterLines="50" w:after="120"/>
              <w:ind w:right="-96"/>
              <w:textAlignment w:val="baseline"/>
              <w:rPr>
                <w:rFonts w:ascii="Arial" w:hAnsi="Arial" w:cs="Arial"/>
              </w:rPr>
            </w:pPr>
            <w:r w:rsidRPr="00C44D50">
              <w:rPr>
                <w:rFonts w:ascii="Arial" w:hAnsi="Arial" w:cs="Arial"/>
              </w:rPr>
              <w:t>FFS: on whether beam quality is used as input for CHO execution condition.</w:t>
            </w:r>
          </w:p>
          <w:p w14:paraId="20DAD6EB" w14:textId="77777777" w:rsidR="00C44D50" w:rsidRPr="00C44D50" w:rsidRDefault="00C44D50" w:rsidP="00C44D50">
            <w:pPr>
              <w:overflowPunct w:val="0"/>
              <w:autoSpaceDE w:val="0"/>
              <w:autoSpaceDN w:val="0"/>
              <w:adjustRightInd w:val="0"/>
              <w:spacing w:afterLines="50" w:after="120"/>
              <w:ind w:right="-96"/>
              <w:textAlignment w:val="baseline"/>
              <w:rPr>
                <w:rFonts w:ascii="Arial" w:hAnsi="Arial" w:cs="Arial"/>
              </w:rPr>
            </w:pPr>
          </w:p>
          <w:p w14:paraId="0673AF12" w14:textId="77777777" w:rsidR="00C44D50" w:rsidRPr="00C44D50" w:rsidRDefault="00C44D50" w:rsidP="00C44D50">
            <w:pPr>
              <w:overflowPunct w:val="0"/>
              <w:autoSpaceDE w:val="0"/>
              <w:autoSpaceDN w:val="0"/>
              <w:adjustRightInd w:val="0"/>
              <w:spacing w:afterLines="50" w:after="120"/>
              <w:ind w:right="-96"/>
              <w:textAlignment w:val="baseline"/>
              <w:rPr>
                <w:rFonts w:ascii="Arial" w:hAnsi="Arial" w:cs="Arial"/>
              </w:rPr>
            </w:pPr>
            <w:r w:rsidRPr="00C44D50">
              <w:rPr>
                <w:rFonts w:ascii="Arial" w:hAnsi="Arial" w:cs="Arial"/>
              </w:rPr>
              <w:t>3</w:t>
            </w:r>
            <w:r w:rsidRPr="00C44D50">
              <w:rPr>
                <w:rFonts w:ascii="Arial" w:hAnsi="Arial" w:cs="Arial"/>
              </w:rPr>
              <w:tab/>
              <w:t xml:space="preserve"> RS type SSB can be used</w:t>
            </w:r>
          </w:p>
          <w:p w14:paraId="1F0FF3C6" w14:textId="77777777" w:rsidR="00C44D50" w:rsidRPr="00C44D50" w:rsidRDefault="00C44D50" w:rsidP="00C44D50">
            <w:pPr>
              <w:overflowPunct w:val="0"/>
              <w:autoSpaceDE w:val="0"/>
              <w:autoSpaceDN w:val="0"/>
              <w:adjustRightInd w:val="0"/>
              <w:spacing w:afterLines="50" w:after="120"/>
              <w:ind w:right="-96"/>
              <w:textAlignment w:val="baseline"/>
              <w:rPr>
                <w:rFonts w:ascii="Arial" w:hAnsi="Arial" w:cs="Arial"/>
              </w:rPr>
            </w:pPr>
            <w:r w:rsidRPr="00C44D50">
              <w:rPr>
                <w:rFonts w:ascii="Arial" w:hAnsi="Arial" w:cs="Arial"/>
              </w:rPr>
              <w:t>FFS: CSI-RS, use of more than one RS type</w:t>
            </w:r>
          </w:p>
          <w:p w14:paraId="4207A92E" w14:textId="77777777" w:rsidR="00C44D50" w:rsidRPr="00C44D50" w:rsidRDefault="00C44D50" w:rsidP="00C44D50">
            <w:pPr>
              <w:overflowPunct w:val="0"/>
              <w:autoSpaceDE w:val="0"/>
              <w:autoSpaceDN w:val="0"/>
              <w:adjustRightInd w:val="0"/>
              <w:spacing w:afterLines="50" w:after="120"/>
              <w:ind w:right="-96"/>
              <w:textAlignment w:val="baseline"/>
              <w:rPr>
                <w:rFonts w:ascii="Arial" w:hAnsi="Arial" w:cs="Arial"/>
              </w:rPr>
            </w:pPr>
          </w:p>
          <w:p w14:paraId="3AF210AB" w14:textId="77777777" w:rsidR="00C44D50" w:rsidRPr="00C44D50" w:rsidRDefault="00C44D50" w:rsidP="00C44D50">
            <w:pPr>
              <w:overflowPunct w:val="0"/>
              <w:autoSpaceDE w:val="0"/>
              <w:autoSpaceDN w:val="0"/>
              <w:adjustRightInd w:val="0"/>
              <w:spacing w:afterLines="50" w:after="120"/>
              <w:ind w:right="-96"/>
              <w:textAlignment w:val="baseline"/>
              <w:rPr>
                <w:rFonts w:ascii="Arial" w:hAnsi="Arial" w:cs="Arial"/>
                <w:highlight w:val="yellow"/>
              </w:rPr>
            </w:pPr>
            <w:r w:rsidRPr="00C44D50">
              <w:rPr>
                <w:rFonts w:ascii="Arial" w:hAnsi="Arial" w:cs="Arial"/>
                <w:highlight w:val="yellow"/>
              </w:rPr>
              <w:t>4</w:t>
            </w:r>
            <w:r w:rsidRPr="00C44D50">
              <w:rPr>
                <w:rFonts w:ascii="Arial" w:hAnsi="Arial" w:cs="Arial"/>
                <w:highlight w:val="yellow"/>
              </w:rPr>
              <w:tab/>
              <w:t>Ax events (entry condition) are used for CHO execution condition and A3/5 as baseline</w:t>
            </w:r>
          </w:p>
          <w:p w14:paraId="73764A7B" w14:textId="77777777" w:rsidR="00C44D50" w:rsidRPr="00C44D50" w:rsidRDefault="00C44D50" w:rsidP="00C44D50">
            <w:pPr>
              <w:overflowPunct w:val="0"/>
              <w:autoSpaceDE w:val="0"/>
              <w:autoSpaceDN w:val="0"/>
              <w:adjustRightInd w:val="0"/>
              <w:spacing w:afterLines="50" w:after="120"/>
              <w:ind w:right="-96"/>
              <w:textAlignment w:val="baseline"/>
              <w:rPr>
                <w:rFonts w:ascii="Arial" w:hAnsi="Arial" w:cs="Arial"/>
              </w:rPr>
            </w:pPr>
            <w:r w:rsidRPr="00C44D50">
              <w:rPr>
                <w:rFonts w:ascii="Arial" w:hAnsi="Arial" w:cs="Arial"/>
                <w:highlight w:val="yellow"/>
              </w:rPr>
              <w:t>FFS: on other events</w:t>
            </w:r>
          </w:p>
          <w:p w14:paraId="1C145323" w14:textId="77777777" w:rsidR="00C44D50" w:rsidRPr="00C44D50" w:rsidRDefault="00C44D50" w:rsidP="00C44D50">
            <w:pPr>
              <w:overflowPunct w:val="0"/>
              <w:autoSpaceDE w:val="0"/>
              <w:autoSpaceDN w:val="0"/>
              <w:adjustRightInd w:val="0"/>
              <w:spacing w:afterLines="50" w:after="120"/>
              <w:ind w:right="-96"/>
              <w:textAlignment w:val="baseline"/>
              <w:rPr>
                <w:rFonts w:ascii="Arial" w:hAnsi="Arial" w:cs="Arial"/>
              </w:rPr>
            </w:pPr>
          </w:p>
          <w:p w14:paraId="52C62255" w14:textId="77777777" w:rsidR="00C44D50" w:rsidRPr="00C44D50" w:rsidRDefault="00C44D50" w:rsidP="00C44D50">
            <w:pPr>
              <w:overflowPunct w:val="0"/>
              <w:autoSpaceDE w:val="0"/>
              <w:autoSpaceDN w:val="0"/>
              <w:adjustRightInd w:val="0"/>
              <w:spacing w:afterLines="50" w:after="120"/>
              <w:ind w:right="-96"/>
              <w:textAlignment w:val="baseline"/>
              <w:rPr>
                <w:rFonts w:ascii="Arial" w:hAnsi="Arial" w:cs="Arial"/>
              </w:rPr>
            </w:pPr>
            <w:r w:rsidRPr="00C44D50">
              <w:rPr>
                <w:rFonts w:ascii="Arial" w:hAnsi="Arial" w:cs="Arial"/>
              </w:rPr>
              <w:t>5</w:t>
            </w:r>
            <w:r w:rsidRPr="00C44D50">
              <w:rPr>
                <w:rFonts w:ascii="Arial" w:hAnsi="Arial" w:cs="Arial"/>
              </w:rPr>
              <w:tab/>
              <w:t xml:space="preserve">Trigger quantity for CHO execution condition(RSRP, RSRQ or RS-SINR) is configured by network. </w:t>
            </w:r>
          </w:p>
          <w:p w14:paraId="5590FD9B" w14:textId="161FEEB3" w:rsidR="00806BCC" w:rsidRPr="00C639BE" w:rsidRDefault="00C44D50" w:rsidP="00C44D50">
            <w:pPr>
              <w:overflowPunct w:val="0"/>
              <w:autoSpaceDE w:val="0"/>
              <w:autoSpaceDN w:val="0"/>
              <w:adjustRightInd w:val="0"/>
              <w:spacing w:afterLines="50" w:after="120"/>
              <w:ind w:right="-96"/>
              <w:textAlignment w:val="baseline"/>
              <w:rPr>
                <w:rFonts w:ascii="Arial" w:hAnsi="Arial" w:cs="Arial"/>
                <w:lang w:val="en-US" w:eastAsia="zh-CN"/>
              </w:rPr>
            </w:pPr>
            <w:r w:rsidRPr="00C44D50">
              <w:rPr>
                <w:rFonts w:ascii="Arial" w:hAnsi="Arial" w:cs="Arial"/>
              </w:rPr>
              <w:t>FFS: on multiple quantities.</w:t>
            </w:r>
          </w:p>
        </w:tc>
      </w:tr>
    </w:tbl>
    <w:p w14:paraId="3764E0AD" w14:textId="77777777" w:rsidR="00806BCC" w:rsidRPr="00C639BE" w:rsidRDefault="00806BCC" w:rsidP="00CD4C7B">
      <w:pPr>
        <w:rPr>
          <w:rFonts w:ascii="Arial" w:hAnsi="Arial" w:cs="Arial"/>
        </w:rPr>
      </w:pPr>
    </w:p>
    <w:p w14:paraId="0BBDFC0A" w14:textId="448EB56A" w:rsidR="00CD4C7B" w:rsidRPr="00C639BE" w:rsidRDefault="00C639BE" w:rsidP="00C1497E">
      <w:pPr>
        <w:rPr>
          <w:rFonts w:ascii="Arial" w:hAnsi="Arial" w:cs="Arial"/>
        </w:rPr>
      </w:pPr>
      <w:r w:rsidRPr="00C639BE">
        <w:rPr>
          <w:rFonts w:ascii="Arial" w:hAnsi="Arial" w:cs="Arial"/>
          <w:lang w:val="en-US"/>
        </w:rPr>
        <w:t xml:space="preserve">In this paper, we take an objective look into </w:t>
      </w:r>
      <w:r w:rsidR="00C44D50">
        <w:rPr>
          <w:rFonts w:ascii="Arial" w:hAnsi="Arial" w:cs="Arial"/>
          <w:lang w:val="en-US"/>
        </w:rPr>
        <w:t xml:space="preserve">different measurement events that can be utilized in triggering CHO execution to the candidate target cell and propose our views. </w:t>
      </w:r>
    </w:p>
    <w:p w14:paraId="127ACA6D" w14:textId="29DF85D9" w:rsidR="00CD4C7B" w:rsidRPr="00C639BE" w:rsidRDefault="00CD4C7B" w:rsidP="00CD4C7B">
      <w:pPr>
        <w:pStyle w:val="Heading1"/>
        <w:rPr>
          <w:rFonts w:cs="Arial"/>
        </w:rPr>
      </w:pPr>
      <w:r w:rsidRPr="00C639BE">
        <w:rPr>
          <w:rFonts w:cs="Arial"/>
        </w:rPr>
        <w:t>2</w:t>
      </w:r>
      <w:r w:rsidRPr="00C639BE">
        <w:rPr>
          <w:rFonts w:cs="Arial"/>
        </w:rPr>
        <w:tab/>
      </w:r>
      <w:r w:rsidR="00C639BE">
        <w:rPr>
          <w:rFonts w:cs="Arial"/>
        </w:rPr>
        <w:t>Discussion</w:t>
      </w:r>
    </w:p>
    <w:p w14:paraId="192879B1" w14:textId="0F60417A" w:rsidR="00C82B37" w:rsidRDefault="00081D6F" w:rsidP="00BE4268">
      <w:pPr>
        <w:shd w:val="clear" w:color="auto" w:fill="FFFFFF"/>
        <w:spacing w:before="75" w:after="75"/>
        <w:contextualSpacing/>
        <w:rPr>
          <w:rFonts w:ascii="Arial" w:hAnsi="Arial" w:cs="Arial"/>
        </w:rPr>
      </w:pPr>
      <w:r>
        <w:rPr>
          <w:rFonts w:ascii="Arial" w:hAnsi="Arial" w:cs="Arial"/>
        </w:rPr>
        <w:t xml:space="preserve">An agreement was made during RAN2 #105bis meeting, that Ax events are used for CHO execution condition and A3/A5 are the baseline events to be considered. </w:t>
      </w:r>
      <w:r w:rsidR="00D44374">
        <w:rPr>
          <w:rFonts w:ascii="Arial" w:hAnsi="Arial" w:cs="Arial"/>
        </w:rPr>
        <w:t>In this paper, we try to analyse the need for using other events and CHO execution condition. In NR specification, the below 6 Ax events are available:</w:t>
      </w:r>
    </w:p>
    <w:p w14:paraId="7ABCAF0C" w14:textId="3394555F" w:rsidR="00D44374" w:rsidRDefault="00D44374" w:rsidP="00BE4268">
      <w:pPr>
        <w:shd w:val="clear" w:color="auto" w:fill="FFFFFF"/>
        <w:spacing w:before="75" w:after="75"/>
        <w:contextualSpacing/>
        <w:rPr>
          <w:rFonts w:ascii="Arial" w:hAnsi="Arial" w:cs="Arial"/>
        </w:rPr>
      </w:pPr>
    </w:p>
    <w:p w14:paraId="79673E96" w14:textId="4FF68D71" w:rsidR="00D44374" w:rsidRPr="00D44374" w:rsidRDefault="00D44374" w:rsidP="00D44374">
      <w:pPr>
        <w:pStyle w:val="ListParagraph"/>
        <w:numPr>
          <w:ilvl w:val="0"/>
          <w:numId w:val="9"/>
        </w:numPr>
        <w:shd w:val="clear" w:color="auto" w:fill="FFFFFF"/>
        <w:spacing w:before="75" w:after="75"/>
        <w:rPr>
          <w:rFonts w:ascii="Arial" w:hAnsi="Arial" w:cs="Arial"/>
        </w:rPr>
      </w:pPr>
      <w:r w:rsidRPr="00D44374">
        <w:rPr>
          <w:rFonts w:ascii="Arial" w:hAnsi="Arial" w:cs="Arial"/>
        </w:rPr>
        <w:t>:</w:t>
      </w:r>
      <w:r>
        <w:rPr>
          <w:rFonts w:ascii="Arial" w:hAnsi="Arial" w:cs="Arial"/>
        </w:rPr>
        <w:tab/>
      </w:r>
      <w:r w:rsidRPr="00D44374">
        <w:rPr>
          <w:rFonts w:ascii="Arial" w:hAnsi="Arial" w:cs="Arial"/>
        </w:rPr>
        <w:t>Serving becomes better than threshold</w:t>
      </w:r>
    </w:p>
    <w:p w14:paraId="2F06D42C" w14:textId="409D19DE" w:rsidR="00D44374" w:rsidRPr="00D44374" w:rsidRDefault="00D44374" w:rsidP="00D44374">
      <w:pPr>
        <w:pStyle w:val="ListParagraph"/>
        <w:numPr>
          <w:ilvl w:val="0"/>
          <w:numId w:val="9"/>
        </w:numPr>
        <w:shd w:val="clear" w:color="auto" w:fill="FFFFFF"/>
        <w:spacing w:before="75" w:after="75"/>
        <w:rPr>
          <w:rFonts w:ascii="Arial" w:hAnsi="Arial" w:cs="Arial"/>
        </w:rPr>
      </w:pPr>
      <w:r w:rsidRPr="00D44374">
        <w:rPr>
          <w:rFonts w:ascii="Arial" w:hAnsi="Arial" w:cs="Arial"/>
        </w:rPr>
        <w:t xml:space="preserve">: </w:t>
      </w:r>
      <w:r>
        <w:rPr>
          <w:rFonts w:ascii="Arial" w:hAnsi="Arial" w:cs="Arial"/>
        </w:rPr>
        <w:tab/>
      </w:r>
      <w:r w:rsidRPr="00D44374">
        <w:rPr>
          <w:rFonts w:ascii="Arial" w:hAnsi="Arial" w:cs="Arial"/>
        </w:rPr>
        <w:t>Serving becomes worse than threshold</w:t>
      </w:r>
    </w:p>
    <w:p w14:paraId="55912DF5" w14:textId="65F6301D" w:rsidR="00D44374" w:rsidRPr="00D44374" w:rsidRDefault="00D44374" w:rsidP="00D44374">
      <w:pPr>
        <w:pStyle w:val="ListParagraph"/>
        <w:numPr>
          <w:ilvl w:val="0"/>
          <w:numId w:val="9"/>
        </w:numPr>
        <w:shd w:val="clear" w:color="auto" w:fill="FFFFFF"/>
        <w:spacing w:before="75" w:after="75"/>
        <w:rPr>
          <w:rFonts w:ascii="Arial" w:hAnsi="Arial" w:cs="Arial"/>
        </w:rPr>
      </w:pPr>
      <w:r w:rsidRPr="00D44374">
        <w:rPr>
          <w:rFonts w:ascii="Arial" w:hAnsi="Arial" w:cs="Arial"/>
        </w:rPr>
        <w:t xml:space="preserve">: </w:t>
      </w:r>
      <w:r>
        <w:rPr>
          <w:rFonts w:ascii="Arial" w:hAnsi="Arial" w:cs="Arial"/>
        </w:rPr>
        <w:tab/>
      </w:r>
      <w:r w:rsidRPr="00D44374">
        <w:rPr>
          <w:rFonts w:ascii="Arial" w:hAnsi="Arial" w:cs="Arial"/>
        </w:rPr>
        <w:t>Neighbour becomes offset better than SpCell</w:t>
      </w:r>
    </w:p>
    <w:p w14:paraId="4BCB6E67" w14:textId="30A0B9E7" w:rsidR="00D44374" w:rsidRPr="00D44374" w:rsidRDefault="00D44374" w:rsidP="00D44374">
      <w:pPr>
        <w:pStyle w:val="ListParagraph"/>
        <w:numPr>
          <w:ilvl w:val="0"/>
          <w:numId w:val="9"/>
        </w:numPr>
        <w:shd w:val="clear" w:color="auto" w:fill="FFFFFF"/>
        <w:spacing w:before="75" w:after="75"/>
        <w:rPr>
          <w:rFonts w:ascii="Arial" w:hAnsi="Arial" w:cs="Arial"/>
        </w:rPr>
      </w:pPr>
      <w:r w:rsidRPr="00D44374">
        <w:rPr>
          <w:rFonts w:ascii="Arial" w:hAnsi="Arial" w:cs="Arial"/>
        </w:rPr>
        <w:t xml:space="preserve">: </w:t>
      </w:r>
      <w:r>
        <w:rPr>
          <w:rFonts w:ascii="Arial" w:hAnsi="Arial" w:cs="Arial"/>
        </w:rPr>
        <w:tab/>
      </w:r>
      <w:r w:rsidRPr="00D44374">
        <w:rPr>
          <w:rFonts w:ascii="Arial" w:hAnsi="Arial" w:cs="Arial"/>
        </w:rPr>
        <w:t>Neighbour becomes better than threshold</w:t>
      </w:r>
    </w:p>
    <w:p w14:paraId="5ED0D627" w14:textId="2108A5F1" w:rsidR="00D44374" w:rsidRPr="00D44374" w:rsidRDefault="00D44374" w:rsidP="00D44374">
      <w:pPr>
        <w:pStyle w:val="ListParagraph"/>
        <w:numPr>
          <w:ilvl w:val="0"/>
          <w:numId w:val="9"/>
        </w:numPr>
        <w:shd w:val="clear" w:color="auto" w:fill="FFFFFF"/>
        <w:spacing w:before="75" w:after="75"/>
        <w:rPr>
          <w:rFonts w:ascii="Arial" w:hAnsi="Arial" w:cs="Arial"/>
        </w:rPr>
      </w:pPr>
      <w:r w:rsidRPr="00D44374">
        <w:rPr>
          <w:rFonts w:ascii="Arial" w:hAnsi="Arial" w:cs="Arial"/>
        </w:rPr>
        <w:t xml:space="preserve">: </w:t>
      </w:r>
      <w:r>
        <w:rPr>
          <w:rFonts w:ascii="Arial" w:hAnsi="Arial" w:cs="Arial"/>
        </w:rPr>
        <w:tab/>
      </w:r>
      <w:r w:rsidRPr="00D44374">
        <w:rPr>
          <w:rFonts w:ascii="Arial" w:hAnsi="Arial" w:cs="Arial"/>
        </w:rPr>
        <w:t>SpCell becomes worse than threshold1 and neighbour becomes better than threshold2</w:t>
      </w:r>
    </w:p>
    <w:p w14:paraId="5C9BFAA5" w14:textId="0EE4C7EB" w:rsidR="00D44374" w:rsidRDefault="00D44374" w:rsidP="00D44374">
      <w:pPr>
        <w:pStyle w:val="ListParagraph"/>
        <w:numPr>
          <w:ilvl w:val="0"/>
          <w:numId w:val="9"/>
        </w:numPr>
        <w:shd w:val="clear" w:color="auto" w:fill="FFFFFF"/>
        <w:spacing w:before="75" w:after="75"/>
        <w:rPr>
          <w:rFonts w:ascii="Arial" w:hAnsi="Arial" w:cs="Arial"/>
        </w:rPr>
      </w:pPr>
      <w:r w:rsidRPr="00D44374">
        <w:rPr>
          <w:rFonts w:ascii="Arial" w:hAnsi="Arial" w:cs="Arial"/>
        </w:rPr>
        <w:t xml:space="preserve">: </w:t>
      </w:r>
      <w:r>
        <w:rPr>
          <w:rFonts w:ascii="Arial" w:hAnsi="Arial" w:cs="Arial"/>
        </w:rPr>
        <w:tab/>
      </w:r>
      <w:r w:rsidRPr="00D44374">
        <w:rPr>
          <w:rFonts w:ascii="Arial" w:hAnsi="Arial" w:cs="Arial"/>
        </w:rPr>
        <w:t>Neighbour becomes offset better than SCell</w:t>
      </w:r>
      <w:r w:rsidRPr="00D44374">
        <w:rPr>
          <w:rFonts w:ascii="Arial" w:hAnsi="Arial" w:cs="Arial"/>
        </w:rPr>
        <w:tab/>
      </w:r>
    </w:p>
    <w:p w14:paraId="5CF0B7BB" w14:textId="31941FFF" w:rsidR="00623CF7" w:rsidRDefault="00623CF7" w:rsidP="00623CF7">
      <w:pPr>
        <w:shd w:val="clear" w:color="auto" w:fill="FFFFFF"/>
        <w:spacing w:before="75" w:after="75"/>
        <w:rPr>
          <w:rFonts w:ascii="Arial" w:hAnsi="Arial" w:cs="Arial"/>
        </w:rPr>
      </w:pPr>
    </w:p>
    <w:p w14:paraId="7D5D687A" w14:textId="04E62D11" w:rsidR="004E0ED1" w:rsidRDefault="000058AC" w:rsidP="00623CF7">
      <w:pPr>
        <w:shd w:val="clear" w:color="auto" w:fill="FFFFFF"/>
        <w:spacing w:before="75" w:after="75"/>
        <w:rPr>
          <w:rFonts w:ascii="Arial" w:hAnsi="Arial" w:cs="Arial"/>
        </w:rPr>
      </w:pPr>
      <w:r>
        <w:rPr>
          <w:rFonts w:ascii="Arial" w:hAnsi="Arial" w:cs="Arial"/>
        </w:rPr>
        <w:t>Evaluating</w:t>
      </w:r>
      <w:r w:rsidR="00623CF7">
        <w:rPr>
          <w:rFonts w:ascii="Arial" w:hAnsi="Arial" w:cs="Arial"/>
        </w:rPr>
        <w:t xml:space="preserve"> the use case </w:t>
      </w:r>
      <w:r>
        <w:rPr>
          <w:rFonts w:ascii="Arial" w:hAnsi="Arial" w:cs="Arial"/>
        </w:rPr>
        <w:t>of</w:t>
      </w:r>
      <w:r w:rsidR="00623CF7">
        <w:rPr>
          <w:rFonts w:ascii="Arial" w:hAnsi="Arial" w:cs="Arial"/>
        </w:rPr>
        <w:t xml:space="preserve"> each of these events, it is certain that not all the events can be used to facilitate and execute handover. </w:t>
      </w:r>
      <w:r w:rsidR="002B310D">
        <w:rPr>
          <w:rFonts w:ascii="Arial" w:hAnsi="Arial" w:cs="Arial"/>
        </w:rPr>
        <w:t>UE reports E</w:t>
      </w:r>
      <w:r>
        <w:rPr>
          <w:rFonts w:ascii="Arial" w:hAnsi="Arial" w:cs="Arial"/>
        </w:rPr>
        <w:t>vent A1 only when serving cell</w:t>
      </w:r>
      <w:r w:rsidR="004E0ED1">
        <w:rPr>
          <w:rFonts w:ascii="Arial" w:hAnsi="Arial" w:cs="Arial"/>
        </w:rPr>
        <w:t xml:space="preserve"> signal condition</w:t>
      </w:r>
      <w:r>
        <w:rPr>
          <w:rFonts w:ascii="Arial" w:hAnsi="Arial" w:cs="Arial"/>
        </w:rPr>
        <w:t xml:space="preserve"> is good. </w:t>
      </w:r>
      <w:r w:rsidR="002B310D">
        <w:rPr>
          <w:rFonts w:ascii="Arial" w:hAnsi="Arial" w:cs="Arial"/>
        </w:rPr>
        <w:t>N</w:t>
      </w:r>
      <w:r>
        <w:rPr>
          <w:rFonts w:ascii="Arial" w:hAnsi="Arial" w:cs="Arial"/>
        </w:rPr>
        <w:t>etwork</w:t>
      </w:r>
      <w:r w:rsidR="00F151AA">
        <w:rPr>
          <w:rFonts w:ascii="Arial" w:hAnsi="Arial" w:cs="Arial"/>
        </w:rPr>
        <w:t xml:space="preserve"> (source gNB)</w:t>
      </w:r>
      <w:r>
        <w:rPr>
          <w:rFonts w:ascii="Arial" w:hAnsi="Arial" w:cs="Arial"/>
        </w:rPr>
        <w:t xml:space="preserve"> </w:t>
      </w:r>
      <w:r w:rsidR="002B310D">
        <w:rPr>
          <w:rFonts w:ascii="Arial" w:hAnsi="Arial" w:cs="Arial"/>
        </w:rPr>
        <w:t>on receiving E</w:t>
      </w:r>
      <w:r>
        <w:rPr>
          <w:rFonts w:ascii="Arial" w:hAnsi="Arial" w:cs="Arial"/>
        </w:rPr>
        <w:t xml:space="preserve">vent A1 from a </w:t>
      </w:r>
      <w:r w:rsidR="00B20706">
        <w:rPr>
          <w:rFonts w:ascii="Arial" w:hAnsi="Arial" w:cs="Arial"/>
        </w:rPr>
        <w:t>UE</w:t>
      </w:r>
      <w:r>
        <w:rPr>
          <w:rFonts w:ascii="Arial" w:hAnsi="Arial" w:cs="Arial"/>
        </w:rPr>
        <w:t xml:space="preserve"> may </w:t>
      </w:r>
      <w:r w:rsidR="00EC1F5F">
        <w:rPr>
          <w:rFonts w:ascii="Arial" w:hAnsi="Arial" w:cs="Arial"/>
        </w:rPr>
        <w:t xml:space="preserve">reconfigure/ add/ remove other measurement ids, for example to </w:t>
      </w:r>
      <w:r>
        <w:rPr>
          <w:rFonts w:ascii="Arial" w:hAnsi="Arial" w:cs="Arial"/>
        </w:rPr>
        <w:t xml:space="preserve">configure A2 to identify when the signal condition of the UE starts degrading below a configured value. </w:t>
      </w:r>
      <w:r w:rsidR="00FE6F36">
        <w:rPr>
          <w:rFonts w:ascii="Arial" w:hAnsi="Arial" w:cs="Arial"/>
        </w:rPr>
        <w:t xml:space="preserve">Therefore, A1 event is not suitable to trigger a handover to a neighbour cell. </w:t>
      </w:r>
    </w:p>
    <w:p w14:paraId="0D5B89F8" w14:textId="77777777" w:rsidR="008B3ACA" w:rsidRDefault="008B3ACA" w:rsidP="00623CF7">
      <w:pPr>
        <w:shd w:val="clear" w:color="auto" w:fill="FFFFFF"/>
        <w:spacing w:before="75" w:after="75"/>
        <w:rPr>
          <w:rFonts w:ascii="Arial" w:hAnsi="Arial" w:cs="Arial"/>
        </w:rPr>
      </w:pPr>
    </w:p>
    <w:p w14:paraId="349769C7" w14:textId="0BC8A9B1" w:rsidR="000058AC" w:rsidRDefault="00594261" w:rsidP="00623CF7">
      <w:pPr>
        <w:shd w:val="clear" w:color="auto" w:fill="FFFFFF"/>
        <w:spacing w:before="75" w:after="75"/>
        <w:rPr>
          <w:rFonts w:ascii="Arial" w:hAnsi="Arial" w:cs="Arial"/>
        </w:rPr>
      </w:pPr>
      <w:r>
        <w:rPr>
          <w:rFonts w:ascii="Arial" w:hAnsi="Arial" w:cs="Arial"/>
        </w:rPr>
        <w:t xml:space="preserve">UE reports Event A2 only when serving cell </w:t>
      </w:r>
      <w:r w:rsidR="004E0ED1">
        <w:rPr>
          <w:rFonts w:ascii="Arial" w:hAnsi="Arial" w:cs="Arial"/>
        </w:rPr>
        <w:t xml:space="preserve">signal condition </w:t>
      </w:r>
      <w:r>
        <w:rPr>
          <w:rFonts w:ascii="Arial" w:hAnsi="Arial" w:cs="Arial"/>
        </w:rPr>
        <w:t xml:space="preserve">is </w:t>
      </w:r>
      <w:r w:rsidR="004E0ED1">
        <w:rPr>
          <w:rFonts w:ascii="Arial" w:hAnsi="Arial" w:cs="Arial"/>
        </w:rPr>
        <w:t>poor</w:t>
      </w:r>
      <w:r>
        <w:rPr>
          <w:rFonts w:ascii="Arial" w:hAnsi="Arial" w:cs="Arial"/>
        </w:rPr>
        <w:t xml:space="preserve"> and does not indicate to the network about a potential neighbour cell that is under good signal conditions. </w:t>
      </w:r>
      <w:r w:rsidR="00F151AA">
        <w:rPr>
          <w:rFonts w:ascii="Arial" w:hAnsi="Arial" w:cs="Arial"/>
        </w:rPr>
        <w:t xml:space="preserve">Source gNB on receiving Event A2 may either reconfigure/ add/ remove a measurement id, for example source gNB configures A1 to identify when UE signal conditions improve or configures A3/A5 to identify if a neighbour cell is in suitable signal conditions to serve the UE. </w:t>
      </w:r>
      <w:r w:rsidR="00FE6F36">
        <w:rPr>
          <w:rFonts w:ascii="Arial" w:hAnsi="Arial" w:cs="Arial"/>
        </w:rPr>
        <w:t xml:space="preserve">Alternatively, the source gNB may perform blind preparation of a target cell and provide handover command to the UE. However, this does not guarantee a good handover success rate as the UE vicinity to these neighbour cells is not known </w:t>
      </w:r>
      <w:r w:rsidR="00EE4F28">
        <w:rPr>
          <w:rFonts w:ascii="Arial" w:hAnsi="Arial" w:cs="Arial"/>
        </w:rPr>
        <w:t>to</w:t>
      </w:r>
      <w:r w:rsidR="00FE6F36">
        <w:rPr>
          <w:rFonts w:ascii="Arial" w:hAnsi="Arial" w:cs="Arial"/>
        </w:rPr>
        <w:t xml:space="preserve"> the source gNB.</w:t>
      </w:r>
      <w:r w:rsidR="00D93216">
        <w:rPr>
          <w:rFonts w:ascii="Arial" w:hAnsi="Arial" w:cs="Arial"/>
        </w:rPr>
        <w:t xml:space="preserve"> Event A2 based blind handovers may be useful only in cases where there are two collocated cells, one belonging to low frequency and other belonging to high frequency, and the coverage of these cells are overlapping and overlaying.</w:t>
      </w:r>
      <w:r w:rsidR="00FE6F36">
        <w:rPr>
          <w:rFonts w:ascii="Arial" w:hAnsi="Arial" w:cs="Arial"/>
        </w:rPr>
        <w:t xml:space="preserve"> </w:t>
      </w:r>
      <w:r w:rsidR="00EE4F28">
        <w:rPr>
          <w:rFonts w:ascii="Arial" w:hAnsi="Arial" w:cs="Arial"/>
        </w:rPr>
        <w:t xml:space="preserve">In these cases, a UE connected to higher frequency cell may be handed over to the cell operating on lower frequency without the knowledge of the signal condition of the target cell (cell on lower frequency has larger coverage footprint). </w:t>
      </w:r>
      <w:r w:rsidR="00BA7876">
        <w:rPr>
          <w:rFonts w:ascii="Arial" w:hAnsi="Arial" w:cs="Arial"/>
        </w:rPr>
        <w:t xml:space="preserve">This is a very limited scenario and may not be applied extensively in practical deployments. Although Event A2 can be used to trigger handover, Event A2 alone cannot be used to perform a reliable handover. </w:t>
      </w:r>
    </w:p>
    <w:p w14:paraId="2C22A06D" w14:textId="77777777" w:rsidR="008B3ACA" w:rsidRDefault="008B3ACA" w:rsidP="00623CF7">
      <w:pPr>
        <w:shd w:val="clear" w:color="auto" w:fill="FFFFFF"/>
        <w:spacing w:before="75" w:after="75"/>
        <w:rPr>
          <w:rFonts w:ascii="Arial" w:hAnsi="Arial" w:cs="Arial"/>
        </w:rPr>
      </w:pPr>
    </w:p>
    <w:p w14:paraId="2D4AB7A8" w14:textId="4B7A3455" w:rsidR="004E0ED1" w:rsidRDefault="004E0ED1" w:rsidP="00E4250B">
      <w:pPr>
        <w:shd w:val="clear" w:color="auto" w:fill="FFFFFF"/>
        <w:spacing w:before="75" w:after="75"/>
        <w:rPr>
          <w:rFonts w:ascii="Arial" w:hAnsi="Arial" w:cs="Arial"/>
        </w:rPr>
      </w:pPr>
      <w:r>
        <w:rPr>
          <w:rFonts w:ascii="Arial" w:hAnsi="Arial" w:cs="Arial"/>
        </w:rPr>
        <w:t xml:space="preserve">UE reports Event A4 only when </w:t>
      </w:r>
      <w:r w:rsidR="00655059">
        <w:rPr>
          <w:rFonts w:ascii="Arial" w:hAnsi="Arial" w:cs="Arial"/>
        </w:rPr>
        <w:t>a</w:t>
      </w:r>
      <w:r>
        <w:rPr>
          <w:rFonts w:ascii="Arial" w:hAnsi="Arial" w:cs="Arial"/>
        </w:rPr>
        <w:t xml:space="preserve"> neighbour cell</w:t>
      </w:r>
      <w:r w:rsidR="008B3ACA">
        <w:rPr>
          <w:rFonts w:ascii="Arial" w:hAnsi="Arial" w:cs="Arial"/>
        </w:rPr>
        <w:t xml:space="preserve"> signal condition</w:t>
      </w:r>
      <w:r>
        <w:rPr>
          <w:rFonts w:ascii="Arial" w:hAnsi="Arial" w:cs="Arial"/>
        </w:rPr>
        <w:t xml:space="preserve"> is good</w:t>
      </w:r>
      <w:r w:rsidR="008B3ACA">
        <w:rPr>
          <w:rFonts w:ascii="Arial" w:hAnsi="Arial" w:cs="Arial"/>
        </w:rPr>
        <w:t xml:space="preserve">. </w:t>
      </w:r>
      <w:r>
        <w:rPr>
          <w:rFonts w:ascii="Arial" w:hAnsi="Arial" w:cs="Arial"/>
        </w:rPr>
        <w:t xml:space="preserve"> </w:t>
      </w:r>
      <w:r w:rsidR="008B3ACA">
        <w:rPr>
          <w:rFonts w:ascii="Arial" w:hAnsi="Arial" w:cs="Arial"/>
        </w:rPr>
        <w:t xml:space="preserve">Source gNB on receiving Event A4 may reconfigure/ add/ remove other measurement ids, for example source gNB configures Event A3/A5 to </w:t>
      </w:r>
      <w:r w:rsidR="007B1A93">
        <w:rPr>
          <w:rFonts w:ascii="Arial" w:hAnsi="Arial" w:cs="Arial"/>
        </w:rPr>
        <w:t>understand</w:t>
      </w:r>
      <w:r w:rsidR="008B3ACA">
        <w:rPr>
          <w:rFonts w:ascii="Arial" w:hAnsi="Arial" w:cs="Arial"/>
        </w:rPr>
        <w:t xml:space="preserve"> the neighbour cell signal conditions in comparison the serving cell signal conditions. </w:t>
      </w:r>
      <w:r w:rsidR="001D1CD1">
        <w:rPr>
          <w:rFonts w:ascii="Arial" w:hAnsi="Arial" w:cs="Arial"/>
        </w:rPr>
        <w:t xml:space="preserve">Alternatively, the source gNB may provide handover command to the UE to the neighbour cell reported in Event A4. </w:t>
      </w:r>
      <w:r w:rsidR="00E4250B">
        <w:rPr>
          <w:rFonts w:ascii="Arial" w:hAnsi="Arial" w:cs="Arial"/>
        </w:rPr>
        <w:t>Although the handover to the target cell may be successful due to good signal condition of the target cell, it does not ensure that the target cell is better than the source cell. It is possible that signal condition and QoS provided by the target cell are poor as compared t</w:t>
      </w:r>
      <w:r w:rsidR="00A8556C">
        <w:rPr>
          <w:rFonts w:ascii="Arial" w:hAnsi="Arial" w:cs="Arial"/>
        </w:rPr>
        <w:t>o source cell. Although Event A4</w:t>
      </w:r>
      <w:r w:rsidR="00E4250B">
        <w:rPr>
          <w:rFonts w:ascii="Arial" w:hAnsi="Arial" w:cs="Arial"/>
        </w:rPr>
        <w:t xml:space="preserve"> can be us</w:t>
      </w:r>
      <w:r w:rsidR="00A8556C">
        <w:rPr>
          <w:rFonts w:ascii="Arial" w:hAnsi="Arial" w:cs="Arial"/>
        </w:rPr>
        <w:t>ed to trigger handover, Event A4</w:t>
      </w:r>
      <w:r w:rsidR="00E4250B">
        <w:rPr>
          <w:rFonts w:ascii="Arial" w:hAnsi="Arial" w:cs="Arial"/>
        </w:rPr>
        <w:t xml:space="preserve"> alone cannot be used to perform a reliable handover.</w:t>
      </w:r>
    </w:p>
    <w:p w14:paraId="15850AAA" w14:textId="2BF6E75D" w:rsidR="00E4250B" w:rsidRDefault="00E4250B" w:rsidP="00E4250B">
      <w:pPr>
        <w:shd w:val="clear" w:color="auto" w:fill="FFFFFF"/>
        <w:spacing w:before="75" w:after="75"/>
        <w:rPr>
          <w:rFonts w:ascii="Arial" w:hAnsi="Arial" w:cs="Arial"/>
        </w:rPr>
      </w:pPr>
    </w:p>
    <w:p w14:paraId="3A1698D4" w14:textId="245DBF63" w:rsidR="00E4250B" w:rsidRDefault="00655059" w:rsidP="00E4250B">
      <w:pPr>
        <w:shd w:val="clear" w:color="auto" w:fill="FFFFFF"/>
        <w:spacing w:before="75" w:after="75"/>
        <w:rPr>
          <w:rFonts w:ascii="Arial" w:hAnsi="Arial" w:cs="Arial"/>
        </w:rPr>
      </w:pPr>
      <w:r>
        <w:rPr>
          <w:rFonts w:ascii="Arial" w:hAnsi="Arial" w:cs="Arial"/>
        </w:rPr>
        <w:t xml:space="preserve">UE reports Event A6 only when an intra-frequency neighbour cell signal conditions is better than a secondary cell. This does not evaluate the primary cell which is the anchor for mobility. As a result, Event A6 cannot be used to trigger a handover to a neighbour cell. </w:t>
      </w:r>
    </w:p>
    <w:p w14:paraId="3B84076A" w14:textId="531D4E2A" w:rsidR="00655059" w:rsidRDefault="00655059" w:rsidP="00E4250B">
      <w:pPr>
        <w:shd w:val="clear" w:color="auto" w:fill="FFFFFF"/>
        <w:spacing w:before="75" w:after="75"/>
        <w:rPr>
          <w:rFonts w:ascii="Arial" w:hAnsi="Arial" w:cs="Arial"/>
        </w:rPr>
      </w:pPr>
    </w:p>
    <w:p w14:paraId="264C873D" w14:textId="0A60B71F" w:rsidR="00655059" w:rsidRPr="00DB06E4" w:rsidRDefault="00655059" w:rsidP="00E4250B">
      <w:pPr>
        <w:shd w:val="clear" w:color="auto" w:fill="FFFFFF"/>
        <w:spacing w:before="75" w:after="75"/>
        <w:rPr>
          <w:rFonts w:ascii="Arial" w:hAnsi="Arial" w:cs="Arial"/>
          <w:b/>
        </w:rPr>
      </w:pPr>
      <w:r w:rsidRPr="00DB06E4">
        <w:rPr>
          <w:rFonts w:ascii="Arial" w:hAnsi="Arial" w:cs="Arial"/>
          <w:b/>
        </w:rPr>
        <w:t xml:space="preserve">Observation 1: Event A1 and A6 are not suitable to trigger handover to a neighbour cell. </w:t>
      </w:r>
    </w:p>
    <w:p w14:paraId="35F52741" w14:textId="77777777" w:rsidR="00655059" w:rsidRPr="00DB06E4" w:rsidRDefault="00655059" w:rsidP="00E4250B">
      <w:pPr>
        <w:shd w:val="clear" w:color="auto" w:fill="FFFFFF"/>
        <w:spacing w:before="75" w:after="75"/>
        <w:rPr>
          <w:rFonts w:ascii="Arial" w:hAnsi="Arial" w:cs="Arial"/>
          <w:b/>
        </w:rPr>
      </w:pPr>
      <w:r w:rsidRPr="00DB06E4">
        <w:rPr>
          <w:rFonts w:ascii="Arial" w:hAnsi="Arial" w:cs="Arial"/>
          <w:b/>
        </w:rPr>
        <w:t xml:space="preserve">Observation 2: Event A2 and A4 in singularity cannot be used to perform a reliable handover to a neighbour cell. </w:t>
      </w:r>
    </w:p>
    <w:p w14:paraId="418507FE" w14:textId="77777777" w:rsidR="00655059" w:rsidRDefault="00655059" w:rsidP="00E4250B">
      <w:pPr>
        <w:shd w:val="clear" w:color="auto" w:fill="FFFFFF"/>
        <w:spacing w:before="75" w:after="75"/>
        <w:rPr>
          <w:rFonts w:ascii="Arial" w:hAnsi="Arial" w:cs="Arial"/>
        </w:rPr>
      </w:pPr>
    </w:p>
    <w:p w14:paraId="3B5DD59C" w14:textId="61D73269" w:rsidR="00655059" w:rsidRDefault="00DB06E4" w:rsidP="00DB06E4">
      <w:pPr>
        <w:shd w:val="clear" w:color="auto" w:fill="FFFFFF"/>
        <w:spacing w:before="75" w:after="75"/>
        <w:rPr>
          <w:rFonts w:ascii="Arial" w:hAnsi="Arial" w:cs="Arial"/>
        </w:rPr>
      </w:pPr>
      <w:r>
        <w:rPr>
          <w:rFonts w:ascii="Arial" w:hAnsi="Arial" w:cs="Arial"/>
        </w:rPr>
        <w:t xml:space="preserve">In order to </w:t>
      </w:r>
      <w:r w:rsidR="00655059">
        <w:rPr>
          <w:rFonts w:ascii="Arial" w:hAnsi="Arial" w:cs="Arial"/>
        </w:rPr>
        <w:t xml:space="preserve"> </w:t>
      </w:r>
      <w:r>
        <w:rPr>
          <w:rFonts w:ascii="Arial" w:hAnsi="Arial" w:cs="Arial"/>
        </w:rPr>
        <w:t>provision and reliable handover to neighbour cell, the source gNB should be aware that a neighbour cell can provide better service to the UE than the current serving cell. Events A3 and A5 provides both the serving cell and neighbour cell signal conditions to the network. Therefore, the source gNB is in a position to understand if the neighbour cell can provide better service.</w:t>
      </w:r>
    </w:p>
    <w:p w14:paraId="17D96495" w14:textId="17B5D501" w:rsidR="004E0ED1" w:rsidRDefault="004E0ED1" w:rsidP="00623CF7">
      <w:pPr>
        <w:shd w:val="clear" w:color="auto" w:fill="FFFFFF"/>
        <w:spacing w:before="75" w:after="75"/>
        <w:rPr>
          <w:rFonts w:ascii="Arial" w:hAnsi="Arial" w:cs="Arial"/>
        </w:rPr>
      </w:pPr>
    </w:p>
    <w:p w14:paraId="35B943E8" w14:textId="59952628" w:rsidR="00DB06E4" w:rsidRPr="009873A4" w:rsidRDefault="00DB06E4" w:rsidP="00623CF7">
      <w:pPr>
        <w:shd w:val="clear" w:color="auto" w:fill="FFFFFF"/>
        <w:spacing w:before="75" w:after="75"/>
        <w:rPr>
          <w:rFonts w:ascii="Arial" w:hAnsi="Arial" w:cs="Arial"/>
          <w:b/>
        </w:rPr>
      </w:pPr>
      <w:r w:rsidRPr="009873A4">
        <w:rPr>
          <w:rFonts w:ascii="Arial" w:hAnsi="Arial" w:cs="Arial"/>
          <w:b/>
        </w:rPr>
        <w:t xml:space="preserve">Proposal </w:t>
      </w:r>
      <w:r w:rsidR="009873A4" w:rsidRPr="009873A4">
        <w:rPr>
          <w:rFonts w:ascii="Arial" w:hAnsi="Arial" w:cs="Arial"/>
          <w:b/>
        </w:rPr>
        <w:t xml:space="preserve">1: </w:t>
      </w:r>
      <w:r w:rsidR="00A8556C">
        <w:rPr>
          <w:rFonts w:ascii="Arial" w:hAnsi="Arial" w:cs="Arial"/>
          <w:b/>
        </w:rPr>
        <w:t xml:space="preserve">Release 15 </w:t>
      </w:r>
      <w:r w:rsidR="009873A4" w:rsidRPr="009873A4">
        <w:rPr>
          <w:rFonts w:ascii="Arial" w:hAnsi="Arial" w:cs="Arial"/>
          <w:b/>
        </w:rPr>
        <w:t xml:space="preserve">Events A3 and </w:t>
      </w:r>
      <w:r w:rsidRPr="009873A4">
        <w:rPr>
          <w:rFonts w:ascii="Arial" w:hAnsi="Arial" w:cs="Arial"/>
          <w:b/>
        </w:rPr>
        <w:t>A5 ar</w:t>
      </w:r>
      <w:r w:rsidR="009873A4" w:rsidRPr="009873A4">
        <w:rPr>
          <w:rFonts w:ascii="Arial" w:hAnsi="Arial" w:cs="Arial"/>
          <w:b/>
        </w:rPr>
        <w:t xml:space="preserve">e used </w:t>
      </w:r>
      <w:r w:rsidR="00A8556C">
        <w:rPr>
          <w:rFonts w:ascii="Arial" w:hAnsi="Arial" w:cs="Arial"/>
          <w:b/>
        </w:rPr>
        <w:t xml:space="preserve">as baseline </w:t>
      </w:r>
      <w:r w:rsidR="009873A4" w:rsidRPr="009873A4">
        <w:rPr>
          <w:rFonts w:ascii="Arial" w:hAnsi="Arial" w:cs="Arial"/>
          <w:b/>
        </w:rPr>
        <w:t>to trigger CHO execution.</w:t>
      </w:r>
      <w:r w:rsidR="00650715">
        <w:rPr>
          <w:rFonts w:ascii="Arial" w:hAnsi="Arial" w:cs="Arial"/>
          <w:b/>
        </w:rPr>
        <w:t xml:space="preserve"> </w:t>
      </w:r>
      <w:r w:rsidR="00A8556C">
        <w:rPr>
          <w:rFonts w:ascii="Arial" w:hAnsi="Arial" w:cs="Arial"/>
          <w:b/>
        </w:rPr>
        <w:t xml:space="preserve">Enhancements </w:t>
      </w:r>
      <w:r w:rsidR="00107D1F">
        <w:rPr>
          <w:rFonts w:ascii="Arial" w:hAnsi="Arial" w:cs="Arial"/>
          <w:b/>
        </w:rPr>
        <w:t>t</w:t>
      </w:r>
      <w:r w:rsidR="00A8556C">
        <w:rPr>
          <w:rFonts w:ascii="Arial" w:hAnsi="Arial" w:cs="Arial"/>
          <w:b/>
        </w:rPr>
        <w:t xml:space="preserve">o trigger conditions within report configuration are not </w:t>
      </w:r>
      <w:r w:rsidR="00107D1F">
        <w:rPr>
          <w:rFonts w:ascii="Arial" w:hAnsi="Arial" w:cs="Arial"/>
          <w:b/>
        </w:rPr>
        <w:t xml:space="preserve">required </w:t>
      </w:r>
      <w:r w:rsidR="00A8556C">
        <w:rPr>
          <w:rFonts w:ascii="Arial" w:hAnsi="Arial" w:cs="Arial"/>
          <w:b/>
        </w:rPr>
        <w:t>to be introduced</w:t>
      </w:r>
      <w:r w:rsidR="009873A4" w:rsidRPr="009873A4">
        <w:rPr>
          <w:rFonts w:ascii="Arial" w:hAnsi="Arial" w:cs="Arial"/>
          <w:b/>
        </w:rPr>
        <w:t xml:space="preserve">. </w:t>
      </w:r>
    </w:p>
    <w:p w14:paraId="43A12B72" w14:textId="6E428EF9"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190C81D1" w14:textId="10ABE150" w:rsidR="00CD4C7B" w:rsidRDefault="00934EB9" w:rsidP="00EF31F5">
      <w:pPr>
        <w:jc w:val="both"/>
        <w:rPr>
          <w:rFonts w:ascii="Arial" w:hAnsi="Arial" w:cs="Arial"/>
        </w:rPr>
      </w:pPr>
      <w:r w:rsidRPr="00C639BE">
        <w:rPr>
          <w:rFonts w:ascii="Arial" w:hAnsi="Arial" w:cs="Arial"/>
        </w:rPr>
        <w:t>The contribution</w:t>
      </w:r>
      <w:r w:rsidR="004C5AA0" w:rsidRPr="00C639BE">
        <w:rPr>
          <w:rFonts w:ascii="Arial" w:hAnsi="Arial" w:cs="Arial"/>
        </w:rPr>
        <w:t xml:space="preserve"> di</w:t>
      </w:r>
      <w:r w:rsidR="00D31234" w:rsidRPr="00C639BE">
        <w:rPr>
          <w:rFonts w:ascii="Arial" w:hAnsi="Arial" w:cs="Arial"/>
        </w:rPr>
        <w:t xml:space="preserve">scussed </w:t>
      </w:r>
      <w:r w:rsidR="005D2887">
        <w:rPr>
          <w:rFonts w:ascii="Arial" w:hAnsi="Arial" w:cs="Arial"/>
        </w:rPr>
        <w:t>use case and suitability of each measurement event</w:t>
      </w:r>
      <w:r w:rsidR="00572F1C">
        <w:rPr>
          <w:rFonts w:ascii="Arial" w:hAnsi="Arial" w:cs="Arial"/>
        </w:rPr>
        <w:t xml:space="preserve"> </w:t>
      </w:r>
      <w:r w:rsidR="005D2887">
        <w:rPr>
          <w:rFonts w:ascii="Arial" w:hAnsi="Arial" w:cs="Arial"/>
        </w:rPr>
        <w:t>for executing conditional handover</w:t>
      </w:r>
      <w:r w:rsidR="00D31234" w:rsidRPr="00C639BE">
        <w:rPr>
          <w:rFonts w:ascii="Arial" w:hAnsi="Arial" w:cs="Arial"/>
        </w:rPr>
        <w:t xml:space="preserve">. </w:t>
      </w:r>
      <w:r w:rsidR="005D2887">
        <w:rPr>
          <w:rFonts w:ascii="Arial" w:hAnsi="Arial" w:cs="Arial"/>
        </w:rPr>
        <w:t>T</w:t>
      </w:r>
      <w:r w:rsidR="00D31234" w:rsidRPr="00C639BE">
        <w:rPr>
          <w:rFonts w:ascii="Arial" w:hAnsi="Arial" w:cs="Arial"/>
        </w:rPr>
        <w:t xml:space="preserve">he following </w:t>
      </w:r>
      <w:r w:rsidR="00DC04F9" w:rsidRPr="00C639BE">
        <w:rPr>
          <w:rFonts w:ascii="Arial" w:hAnsi="Arial" w:cs="Arial"/>
        </w:rPr>
        <w:t xml:space="preserve">observations and </w:t>
      </w:r>
      <w:r w:rsidR="004727CD">
        <w:rPr>
          <w:rFonts w:ascii="Arial" w:hAnsi="Arial" w:cs="Arial"/>
        </w:rPr>
        <w:t>proposal</w:t>
      </w:r>
      <w:r w:rsidR="00A90164">
        <w:rPr>
          <w:rFonts w:ascii="Arial" w:hAnsi="Arial" w:cs="Arial"/>
        </w:rPr>
        <w:t>s</w:t>
      </w:r>
      <w:r w:rsidR="004727CD">
        <w:rPr>
          <w:rFonts w:ascii="Arial" w:hAnsi="Arial" w:cs="Arial"/>
        </w:rPr>
        <w:t xml:space="preserve"> are made:</w:t>
      </w:r>
    </w:p>
    <w:p w14:paraId="5DB23C81" w14:textId="77777777" w:rsidR="009873A4" w:rsidRPr="00DB06E4" w:rsidRDefault="009873A4" w:rsidP="009873A4">
      <w:pPr>
        <w:shd w:val="clear" w:color="auto" w:fill="FFFFFF"/>
        <w:spacing w:before="75" w:after="75"/>
        <w:rPr>
          <w:rFonts w:ascii="Arial" w:hAnsi="Arial" w:cs="Arial"/>
          <w:b/>
        </w:rPr>
      </w:pPr>
      <w:r w:rsidRPr="00DB06E4">
        <w:rPr>
          <w:rFonts w:ascii="Arial" w:hAnsi="Arial" w:cs="Arial"/>
          <w:b/>
        </w:rPr>
        <w:t xml:space="preserve">Observation 1: Event A1 and A6 are not suitable to trigger handover to a neighbour cell. </w:t>
      </w:r>
    </w:p>
    <w:p w14:paraId="6D3C6DAB" w14:textId="4FC924C2" w:rsidR="009873A4" w:rsidRPr="009873A4" w:rsidRDefault="009873A4" w:rsidP="009873A4">
      <w:pPr>
        <w:shd w:val="clear" w:color="auto" w:fill="FFFFFF"/>
        <w:spacing w:before="75" w:after="75"/>
        <w:rPr>
          <w:rFonts w:ascii="Arial" w:hAnsi="Arial" w:cs="Arial"/>
          <w:b/>
        </w:rPr>
      </w:pPr>
      <w:r w:rsidRPr="00DB06E4">
        <w:rPr>
          <w:rFonts w:ascii="Arial" w:hAnsi="Arial" w:cs="Arial"/>
          <w:b/>
        </w:rPr>
        <w:t xml:space="preserve">Observation 2: Event A2 and A4 in singularity cannot be used to perform a reliable handover to a neighbour cell. </w:t>
      </w:r>
    </w:p>
    <w:p w14:paraId="7F7A1B0A" w14:textId="6503A855" w:rsidR="00A8556C" w:rsidRPr="009873A4" w:rsidRDefault="00A8556C" w:rsidP="00A8556C">
      <w:pPr>
        <w:shd w:val="clear" w:color="auto" w:fill="FFFFFF"/>
        <w:spacing w:before="75" w:after="75"/>
        <w:rPr>
          <w:rFonts w:ascii="Arial" w:hAnsi="Arial" w:cs="Arial"/>
          <w:b/>
        </w:rPr>
      </w:pPr>
      <w:r w:rsidRPr="009873A4">
        <w:rPr>
          <w:rFonts w:ascii="Arial" w:hAnsi="Arial" w:cs="Arial"/>
          <w:b/>
        </w:rPr>
        <w:t xml:space="preserve">Proposal 1: </w:t>
      </w:r>
      <w:r>
        <w:rPr>
          <w:rFonts w:ascii="Arial" w:hAnsi="Arial" w:cs="Arial"/>
          <w:b/>
        </w:rPr>
        <w:t xml:space="preserve">Release 15 </w:t>
      </w:r>
      <w:r w:rsidRPr="009873A4">
        <w:rPr>
          <w:rFonts w:ascii="Arial" w:hAnsi="Arial" w:cs="Arial"/>
          <w:b/>
        </w:rPr>
        <w:t xml:space="preserve">Events A3 and A5 are used </w:t>
      </w:r>
      <w:r>
        <w:rPr>
          <w:rFonts w:ascii="Arial" w:hAnsi="Arial" w:cs="Arial"/>
          <w:b/>
        </w:rPr>
        <w:t xml:space="preserve">as baseline </w:t>
      </w:r>
      <w:r w:rsidRPr="009873A4">
        <w:rPr>
          <w:rFonts w:ascii="Arial" w:hAnsi="Arial" w:cs="Arial"/>
          <w:b/>
        </w:rPr>
        <w:t>to trigger CHO execution.</w:t>
      </w:r>
      <w:r>
        <w:rPr>
          <w:rFonts w:ascii="Arial" w:hAnsi="Arial" w:cs="Arial"/>
          <w:b/>
        </w:rPr>
        <w:t xml:space="preserve"> Enhancements related to trigger conditions (within report configuration) are not required to be intro</w:t>
      </w:r>
      <w:r w:rsidR="00107D1F">
        <w:rPr>
          <w:rFonts w:ascii="Arial" w:hAnsi="Arial" w:cs="Arial"/>
          <w:b/>
        </w:rPr>
        <w:t xml:space="preserve"> </w:t>
      </w:r>
      <w:r>
        <w:rPr>
          <w:rFonts w:ascii="Arial" w:hAnsi="Arial" w:cs="Arial"/>
          <w:b/>
        </w:rPr>
        <w:t>duced</w:t>
      </w:r>
      <w:r w:rsidRPr="009873A4">
        <w:rPr>
          <w:rFonts w:ascii="Arial" w:hAnsi="Arial" w:cs="Arial"/>
          <w:b/>
        </w:rPr>
        <w:t xml:space="preserve">. </w:t>
      </w:r>
    </w:p>
    <w:p w14:paraId="4F8474FB" w14:textId="77777777" w:rsidR="00572F1C" w:rsidRPr="00C639BE" w:rsidRDefault="00572F1C" w:rsidP="00EF31F5">
      <w:pPr>
        <w:jc w:val="both"/>
        <w:rPr>
          <w:rFonts w:ascii="Arial" w:hAnsi="Arial" w:cs="Arial"/>
        </w:rPr>
      </w:pPr>
    </w:p>
    <w:p w14:paraId="0FDCFAC2" w14:textId="77777777" w:rsidR="00CD4C7B" w:rsidRPr="00C639BE" w:rsidRDefault="00CD4C7B" w:rsidP="00CD4C7B">
      <w:pPr>
        <w:pStyle w:val="Heading1"/>
        <w:rPr>
          <w:rFonts w:cs="Arial"/>
        </w:rPr>
      </w:pPr>
      <w:r w:rsidRPr="00C639BE">
        <w:rPr>
          <w:rFonts w:cs="Arial"/>
        </w:rPr>
        <w:lastRenderedPageBreak/>
        <w:t>References</w:t>
      </w:r>
    </w:p>
    <w:p w14:paraId="76BA2103" w14:textId="0BC5FAC2" w:rsidR="000F4184" w:rsidRPr="00C639BE" w:rsidRDefault="00E56643" w:rsidP="00EF31F5">
      <w:pPr>
        <w:numPr>
          <w:ilvl w:val="0"/>
          <w:numId w:val="4"/>
        </w:numPr>
        <w:overflowPunct w:val="0"/>
        <w:autoSpaceDE w:val="0"/>
        <w:autoSpaceDN w:val="0"/>
        <w:adjustRightInd w:val="0"/>
        <w:jc w:val="both"/>
        <w:textAlignment w:val="baseline"/>
        <w:rPr>
          <w:rFonts w:ascii="Arial" w:hAnsi="Arial" w:cs="Arial"/>
        </w:rPr>
      </w:pPr>
      <w:bookmarkStart w:id="1" w:name="_Ref528151056"/>
      <w:bookmarkStart w:id="2" w:name="_Ref75086397"/>
      <w:r w:rsidRPr="00C639BE">
        <w:rPr>
          <w:rFonts w:ascii="Arial" w:hAnsi="Arial" w:cs="Arial"/>
        </w:rPr>
        <w:t>RP-181433, New WID: NR mobility enhancements, 3GPP TSG RAN Meeting #80, La Jolla, USA, May 21-May 25 2018.</w:t>
      </w:r>
      <w:r w:rsidRPr="00C639BE" w:rsidDel="00E56643">
        <w:rPr>
          <w:rFonts w:ascii="Arial" w:hAnsi="Arial" w:cs="Arial"/>
        </w:rPr>
        <w:t xml:space="preserve"> </w:t>
      </w:r>
      <w:r w:rsidRPr="00C639BE">
        <w:rPr>
          <w:rFonts w:ascii="Arial" w:hAnsi="Arial" w:cs="Arial"/>
        </w:rPr>
        <w:t xml:space="preserve"> </w:t>
      </w:r>
      <w:bookmarkEnd w:id="1"/>
      <w:bookmarkEnd w:id="2"/>
    </w:p>
    <w:sectPr w:rsidR="000F4184" w:rsidRPr="00C639BE"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6CF71" w14:textId="77777777" w:rsidR="00C31894" w:rsidRDefault="00C31894">
      <w:r>
        <w:separator/>
      </w:r>
    </w:p>
  </w:endnote>
  <w:endnote w:type="continuationSeparator" w:id="0">
    <w:p w14:paraId="7CC6254A" w14:textId="77777777" w:rsidR="00C31894" w:rsidRDefault="00C31894">
      <w:r>
        <w:continuationSeparator/>
      </w:r>
    </w:p>
  </w:endnote>
  <w:endnote w:type="continuationNotice" w:id="1">
    <w:p w14:paraId="612750DC" w14:textId="77777777" w:rsidR="00C31894" w:rsidRDefault="00C318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E1D96" w14:textId="77777777" w:rsidR="00C31894" w:rsidRDefault="00C31894">
      <w:r>
        <w:separator/>
      </w:r>
    </w:p>
  </w:footnote>
  <w:footnote w:type="continuationSeparator" w:id="0">
    <w:p w14:paraId="2A76C4D1" w14:textId="77777777" w:rsidR="00C31894" w:rsidRDefault="00C31894">
      <w:r>
        <w:continuationSeparator/>
      </w:r>
    </w:p>
  </w:footnote>
  <w:footnote w:type="continuationNotice" w:id="1">
    <w:p w14:paraId="482A4F4B" w14:textId="77777777" w:rsidR="00C31894" w:rsidRDefault="00C318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26E0B1D"/>
    <w:multiLevelType w:val="hybridMultilevel"/>
    <w:tmpl w:val="FD4E3C2C"/>
    <w:lvl w:ilvl="0" w:tplc="FF4A4738">
      <w:start w:val="1"/>
      <w:numFmt w:val="decimal"/>
      <w:lvlText w:val="Event A%1"/>
      <w:lvlJc w:val="left"/>
      <w:pPr>
        <w:ind w:left="644" w:hanging="360"/>
      </w:pPr>
      <w:rPr>
        <w:rFonts w:hint="default"/>
      </w:rPr>
    </w:lvl>
    <w:lvl w:ilvl="1" w:tplc="40090019" w:tentative="1">
      <w:start w:val="1"/>
      <w:numFmt w:val="lowerLetter"/>
      <w:lvlText w:val="%2."/>
      <w:lvlJc w:val="left"/>
      <w:pPr>
        <w:ind w:left="797" w:hanging="360"/>
      </w:pPr>
    </w:lvl>
    <w:lvl w:ilvl="2" w:tplc="4009001B" w:tentative="1">
      <w:start w:val="1"/>
      <w:numFmt w:val="lowerRoman"/>
      <w:lvlText w:val="%3."/>
      <w:lvlJc w:val="right"/>
      <w:pPr>
        <w:ind w:left="1517" w:hanging="180"/>
      </w:pPr>
    </w:lvl>
    <w:lvl w:ilvl="3" w:tplc="4009000F" w:tentative="1">
      <w:start w:val="1"/>
      <w:numFmt w:val="decimal"/>
      <w:lvlText w:val="%4."/>
      <w:lvlJc w:val="left"/>
      <w:pPr>
        <w:ind w:left="2237" w:hanging="360"/>
      </w:pPr>
    </w:lvl>
    <w:lvl w:ilvl="4" w:tplc="40090019" w:tentative="1">
      <w:start w:val="1"/>
      <w:numFmt w:val="lowerLetter"/>
      <w:lvlText w:val="%5."/>
      <w:lvlJc w:val="left"/>
      <w:pPr>
        <w:ind w:left="2957" w:hanging="360"/>
      </w:pPr>
    </w:lvl>
    <w:lvl w:ilvl="5" w:tplc="4009001B" w:tentative="1">
      <w:start w:val="1"/>
      <w:numFmt w:val="lowerRoman"/>
      <w:lvlText w:val="%6."/>
      <w:lvlJc w:val="right"/>
      <w:pPr>
        <w:ind w:left="3677" w:hanging="180"/>
      </w:pPr>
    </w:lvl>
    <w:lvl w:ilvl="6" w:tplc="4009000F" w:tentative="1">
      <w:start w:val="1"/>
      <w:numFmt w:val="decimal"/>
      <w:lvlText w:val="%7."/>
      <w:lvlJc w:val="left"/>
      <w:pPr>
        <w:ind w:left="4397" w:hanging="360"/>
      </w:pPr>
    </w:lvl>
    <w:lvl w:ilvl="7" w:tplc="40090019" w:tentative="1">
      <w:start w:val="1"/>
      <w:numFmt w:val="lowerLetter"/>
      <w:lvlText w:val="%8."/>
      <w:lvlJc w:val="left"/>
      <w:pPr>
        <w:ind w:left="5117" w:hanging="360"/>
      </w:pPr>
    </w:lvl>
    <w:lvl w:ilvl="8" w:tplc="4009001B" w:tentative="1">
      <w:start w:val="1"/>
      <w:numFmt w:val="lowerRoman"/>
      <w:lvlText w:val="%9."/>
      <w:lvlJc w:val="right"/>
      <w:pPr>
        <w:ind w:left="5837" w:hanging="180"/>
      </w:pPr>
    </w:lvl>
  </w:abstractNum>
  <w:abstractNum w:abstractNumId="6"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7"/>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58AC"/>
    <w:rsid w:val="00016E90"/>
    <w:rsid w:val="00023FE1"/>
    <w:rsid w:val="00025CAA"/>
    <w:rsid w:val="00026163"/>
    <w:rsid w:val="00027E9F"/>
    <w:rsid w:val="00033397"/>
    <w:rsid w:val="00036A85"/>
    <w:rsid w:val="00040095"/>
    <w:rsid w:val="00042337"/>
    <w:rsid w:val="0004393C"/>
    <w:rsid w:val="00044A21"/>
    <w:rsid w:val="00055729"/>
    <w:rsid w:val="00065106"/>
    <w:rsid w:val="000656C6"/>
    <w:rsid w:val="000658D1"/>
    <w:rsid w:val="000665E2"/>
    <w:rsid w:val="00066E93"/>
    <w:rsid w:val="000721ED"/>
    <w:rsid w:val="00073C25"/>
    <w:rsid w:val="00080512"/>
    <w:rsid w:val="00081D6F"/>
    <w:rsid w:val="00087D20"/>
    <w:rsid w:val="00090468"/>
    <w:rsid w:val="0009078A"/>
    <w:rsid w:val="0009151D"/>
    <w:rsid w:val="00095799"/>
    <w:rsid w:val="000A5DC9"/>
    <w:rsid w:val="000B15D2"/>
    <w:rsid w:val="000B7BCF"/>
    <w:rsid w:val="000C1610"/>
    <w:rsid w:val="000C1DC9"/>
    <w:rsid w:val="000C4661"/>
    <w:rsid w:val="000C522B"/>
    <w:rsid w:val="000C7A74"/>
    <w:rsid w:val="000D1C3C"/>
    <w:rsid w:val="000D2C9E"/>
    <w:rsid w:val="000D58AB"/>
    <w:rsid w:val="000E2703"/>
    <w:rsid w:val="000E76EC"/>
    <w:rsid w:val="000F0E7B"/>
    <w:rsid w:val="000F16F5"/>
    <w:rsid w:val="000F29D0"/>
    <w:rsid w:val="000F4184"/>
    <w:rsid w:val="000F5175"/>
    <w:rsid w:val="000F73A2"/>
    <w:rsid w:val="00101F09"/>
    <w:rsid w:val="001029D4"/>
    <w:rsid w:val="001059B9"/>
    <w:rsid w:val="00106D9B"/>
    <w:rsid w:val="00106E25"/>
    <w:rsid w:val="001070D6"/>
    <w:rsid w:val="00107D1F"/>
    <w:rsid w:val="00112F1A"/>
    <w:rsid w:val="00117E0A"/>
    <w:rsid w:val="00125389"/>
    <w:rsid w:val="0012595C"/>
    <w:rsid w:val="0012661A"/>
    <w:rsid w:val="001315D2"/>
    <w:rsid w:val="00131AD5"/>
    <w:rsid w:val="00131D33"/>
    <w:rsid w:val="001326C2"/>
    <w:rsid w:val="00133FC0"/>
    <w:rsid w:val="00140130"/>
    <w:rsid w:val="00140758"/>
    <w:rsid w:val="001434E6"/>
    <w:rsid w:val="00145075"/>
    <w:rsid w:val="00145E81"/>
    <w:rsid w:val="00153844"/>
    <w:rsid w:val="00153C1D"/>
    <w:rsid w:val="001610D0"/>
    <w:rsid w:val="00162BE6"/>
    <w:rsid w:val="00162F06"/>
    <w:rsid w:val="00163DDD"/>
    <w:rsid w:val="00166A67"/>
    <w:rsid w:val="001741A0"/>
    <w:rsid w:val="00175FA0"/>
    <w:rsid w:val="00194CD0"/>
    <w:rsid w:val="00197620"/>
    <w:rsid w:val="001A010B"/>
    <w:rsid w:val="001A0627"/>
    <w:rsid w:val="001A3BC4"/>
    <w:rsid w:val="001B49C9"/>
    <w:rsid w:val="001B6DAF"/>
    <w:rsid w:val="001C0ACA"/>
    <w:rsid w:val="001C467F"/>
    <w:rsid w:val="001C4F79"/>
    <w:rsid w:val="001C5BDB"/>
    <w:rsid w:val="001C6DD7"/>
    <w:rsid w:val="001D1CD1"/>
    <w:rsid w:val="001D1FCA"/>
    <w:rsid w:val="001D3A94"/>
    <w:rsid w:val="001D6012"/>
    <w:rsid w:val="001F168B"/>
    <w:rsid w:val="001F2530"/>
    <w:rsid w:val="001F2A0C"/>
    <w:rsid w:val="001F39E8"/>
    <w:rsid w:val="001F3D5E"/>
    <w:rsid w:val="001F671B"/>
    <w:rsid w:val="001F7831"/>
    <w:rsid w:val="00200ED8"/>
    <w:rsid w:val="00202876"/>
    <w:rsid w:val="00204045"/>
    <w:rsid w:val="00206727"/>
    <w:rsid w:val="0020712B"/>
    <w:rsid w:val="00212FB0"/>
    <w:rsid w:val="00214BD3"/>
    <w:rsid w:val="0021664E"/>
    <w:rsid w:val="002218C5"/>
    <w:rsid w:val="00221FE3"/>
    <w:rsid w:val="0022606D"/>
    <w:rsid w:val="00231728"/>
    <w:rsid w:val="002334FD"/>
    <w:rsid w:val="00237CA9"/>
    <w:rsid w:val="00237FF5"/>
    <w:rsid w:val="00246343"/>
    <w:rsid w:val="00250BD0"/>
    <w:rsid w:val="00250D15"/>
    <w:rsid w:val="00255ABB"/>
    <w:rsid w:val="002610D8"/>
    <w:rsid w:val="00261D26"/>
    <w:rsid w:val="00263E5C"/>
    <w:rsid w:val="002705D0"/>
    <w:rsid w:val="002747EC"/>
    <w:rsid w:val="00280F8E"/>
    <w:rsid w:val="00283741"/>
    <w:rsid w:val="00283E5C"/>
    <w:rsid w:val="002855BF"/>
    <w:rsid w:val="0029324C"/>
    <w:rsid w:val="002968AA"/>
    <w:rsid w:val="00296A0A"/>
    <w:rsid w:val="002A0FA3"/>
    <w:rsid w:val="002B310D"/>
    <w:rsid w:val="002B7944"/>
    <w:rsid w:val="002D19E1"/>
    <w:rsid w:val="002D1D52"/>
    <w:rsid w:val="002D215B"/>
    <w:rsid w:val="002D5F48"/>
    <w:rsid w:val="002E317F"/>
    <w:rsid w:val="002F0D22"/>
    <w:rsid w:val="002F0F1F"/>
    <w:rsid w:val="0030263B"/>
    <w:rsid w:val="00303270"/>
    <w:rsid w:val="00305587"/>
    <w:rsid w:val="00310CB1"/>
    <w:rsid w:val="00316EF8"/>
    <w:rsid w:val="003172DC"/>
    <w:rsid w:val="00317A9A"/>
    <w:rsid w:val="003205B7"/>
    <w:rsid w:val="00323BAA"/>
    <w:rsid w:val="00325AE3"/>
    <w:rsid w:val="00325EA1"/>
    <w:rsid w:val="00326069"/>
    <w:rsid w:val="00330A0B"/>
    <w:rsid w:val="00330F24"/>
    <w:rsid w:val="003317EE"/>
    <w:rsid w:val="0033484D"/>
    <w:rsid w:val="003442E6"/>
    <w:rsid w:val="0035462D"/>
    <w:rsid w:val="00354FBE"/>
    <w:rsid w:val="00364B41"/>
    <w:rsid w:val="00372025"/>
    <w:rsid w:val="0038512A"/>
    <w:rsid w:val="00385E77"/>
    <w:rsid w:val="00392DE8"/>
    <w:rsid w:val="003A3C2C"/>
    <w:rsid w:val="003A41EF"/>
    <w:rsid w:val="003B240B"/>
    <w:rsid w:val="003B2A2A"/>
    <w:rsid w:val="003B40AD"/>
    <w:rsid w:val="003B418A"/>
    <w:rsid w:val="003C0108"/>
    <w:rsid w:val="003C1502"/>
    <w:rsid w:val="003C1A0E"/>
    <w:rsid w:val="003C4E37"/>
    <w:rsid w:val="003E1261"/>
    <w:rsid w:val="003E16BE"/>
    <w:rsid w:val="003E2119"/>
    <w:rsid w:val="003E24D7"/>
    <w:rsid w:val="003E4037"/>
    <w:rsid w:val="003E50A0"/>
    <w:rsid w:val="003E6958"/>
    <w:rsid w:val="003E7387"/>
    <w:rsid w:val="003F0E70"/>
    <w:rsid w:val="003F1057"/>
    <w:rsid w:val="003F2619"/>
    <w:rsid w:val="003F4BA3"/>
    <w:rsid w:val="003F4E28"/>
    <w:rsid w:val="004006E8"/>
    <w:rsid w:val="00401855"/>
    <w:rsid w:val="00405E79"/>
    <w:rsid w:val="00407274"/>
    <w:rsid w:val="00407C8F"/>
    <w:rsid w:val="00410BCA"/>
    <w:rsid w:val="00411D61"/>
    <w:rsid w:val="00415A22"/>
    <w:rsid w:val="004176F8"/>
    <w:rsid w:val="004212EF"/>
    <w:rsid w:val="004224F8"/>
    <w:rsid w:val="004249B8"/>
    <w:rsid w:val="00427A4E"/>
    <w:rsid w:val="00432F99"/>
    <w:rsid w:val="0043371B"/>
    <w:rsid w:val="00433CFB"/>
    <w:rsid w:val="0043423D"/>
    <w:rsid w:val="004413A7"/>
    <w:rsid w:val="00443319"/>
    <w:rsid w:val="0044363C"/>
    <w:rsid w:val="00446A33"/>
    <w:rsid w:val="004512BD"/>
    <w:rsid w:val="00452B6C"/>
    <w:rsid w:val="00461F90"/>
    <w:rsid w:val="00464425"/>
    <w:rsid w:val="00471F31"/>
    <w:rsid w:val="004727CD"/>
    <w:rsid w:val="00477455"/>
    <w:rsid w:val="00483FA8"/>
    <w:rsid w:val="00484B62"/>
    <w:rsid w:val="004A03B2"/>
    <w:rsid w:val="004A1F7B"/>
    <w:rsid w:val="004A4C5A"/>
    <w:rsid w:val="004B0BB3"/>
    <w:rsid w:val="004B0ED2"/>
    <w:rsid w:val="004B4791"/>
    <w:rsid w:val="004C44D2"/>
    <w:rsid w:val="004C5AA0"/>
    <w:rsid w:val="004C7302"/>
    <w:rsid w:val="004D3578"/>
    <w:rsid w:val="004D380D"/>
    <w:rsid w:val="004D5A8E"/>
    <w:rsid w:val="004E0ED1"/>
    <w:rsid w:val="004E1FEA"/>
    <w:rsid w:val="004E213A"/>
    <w:rsid w:val="004E40CD"/>
    <w:rsid w:val="00503171"/>
    <w:rsid w:val="00506C28"/>
    <w:rsid w:val="00510176"/>
    <w:rsid w:val="00512660"/>
    <w:rsid w:val="00512CA7"/>
    <w:rsid w:val="00513642"/>
    <w:rsid w:val="0051627F"/>
    <w:rsid w:val="00517C98"/>
    <w:rsid w:val="00525C9F"/>
    <w:rsid w:val="00527128"/>
    <w:rsid w:val="00534300"/>
    <w:rsid w:val="00534DA0"/>
    <w:rsid w:val="005362D5"/>
    <w:rsid w:val="00541BC2"/>
    <w:rsid w:val="00543E6C"/>
    <w:rsid w:val="00545BD9"/>
    <w:rsid w:val="005502AE"/>
    <w:rsid w:val="00552D69"/>
    <w:rsid w:val="00560B74"/>
    <w:rsid w:val="00565087"/>
    <w:rsid w:val="0056573F"/>
    <w:rsid w:val="0056638C"/>
    <w:rsid w:val="00570FDE"/>
    <w:rsid w:val="00572F1C"/>
    <w:rsid w:val="005841A9"/>
    <w:rsid w:val="0059143D"/>
    <w:rsid w:val="00594261"/>
    <w:rsid w:val="00594520"/>
    <w:rsid w:val="005A05E7"/>
    <w:rsid w:val="005A2265"/>
    <w:rsid w:val="005A2E40"/>
    <w:rsid w:val="005A53BA"/>
    <w:rsid w:val="005A54C6"/>
    <w:rsid w:val="005A5625"/>
    <w:rsid w:val="005A7CDD"/>
    <w:rsid w:val="005B6FC5"/>
    <w:rsid w:val="005C6847"/>
    <w:rsid w:val="005D2887"/>
    <w:rsid w:val="005D7306"/>
    <w:rsid w:val="005E2FF7"/>
    <w:rsid w:val="005E43F5"/>
    <w:rsid w:val="005F127F"/>
    <w:rsid w:val="005F3B2A"/>
    <w:rsid w:val="005F48D4"/>
    <w:rsid w:val="00604CCC"/>
    <w:rsid w:val="00606696"/>
    <w:rsid w:val="0060683E"/>
    <w:rsid w:val="00607FA2"/>
    <w:rsid w:val="00611566"/>
    <w:rsid w:val="006150A0"/>
    <w:rsid w:val="00622DC4"/>
    <w:rsid w:val="00623CF7"/>
    <w:rsid w:val="00630529"/>
    <w:rsid w:val="00632ACB"/>
    <w:rsid w:val="006346C7"/>
    <w:rsid w:val="00634706"/>
    <w:rsid w:val="00634F25"/>
    <w:rsid w:val="00642B9D"/>
    <w:rsid w:val="00646D99"/>
    <w:rsid w:val="00650715"/>
    <w:rsid w:val="006520A1"/>
    <w:rsid w:val="00655059"/>
    <w:rsid w:val="00656910"/>
    <w:rsid w:val="006571A7"/>
    <w:rsid w:val="006577FB"/>
    <w:rsid w:val="006606C4"/>
    <w:rsid w:val="006649EC"/>
    <w:rsid w:val="00664FEB"/>
    <w:rsid w:val="006728CE"/>
    <w:rsid w:val="0067501B"/>
    <w:rsid w:val="00680135"/>
    <w:rsid w:val="00680537"/>
    <w:rsid w:val="006831CA"/>
    <w:rsid w:val="006877B6"/>
    <w:rsid w:val="00687B05"/>
    <w:rsid w:val="0069055A"/>
    <w:rsid w:val="006977EE"/>
    <w:rsid w:val="006A0EA1"/>
    <w:rsid w:val="006A3AAC"/>
    <w:rsid w:val="006A5282"/>
    <w:rsid w:val="006A7A2A"/>
    <w:rsid w:val="006B3F85"/>
    <w:rsid w:val="006B62BD"/>
    <w:rsid w:val="006C1C1D"/>
    <w:rsid w:val="006C3929"/>
    <w:rsid w:val="006C66D8"/>
    <w:rsid w:val="006D0B63"/>
    <w:rsid w:val="006D1E24"/>
    <w:rsid w:val="006D3E01"/>
    <w:rsid w:val="006D5076"/>
    <w:rsid w:val="006E1417"/>
    <w:rsid w:val="006E1AF9"/>
    <w:rsid w:val="006E206B"/>
    <w:rsid w:val="006E24F9"/>
    <w:rsid w:val="006E6B13"/>
    <w:rsid w:val="006F6A2C"/>
    <w:rsid w:val="00703EDA"/>
    <w:rsid w:val="00710201"/>
    <w:rsid w:val="0071205A"/>
    <w:rsid w:val="00713939"/>
    <w:rsid w:val="007145B2"/>
    <w:rsid w:val="00727847"/>
    <w:rsid w:val="007342B5"/>
    <w:rsid w:val="00734A5B"/>
    <w:rsid w:val="007353E2"/>
    <w:rsid w:val="007357FB"/>
    <w:rsid w:val="0074106D"/>
    <w:rsid w:val="00742681"/>
    <w:rsid w:val="00744E76"/>
    <w:rsid w:val="00746CBB"/>
    <w:rsid w:val="00756B0A"/>
    <w:rsid w:val="00757385"/>
    <w:rsid w:val="00757857"/>
    <w:rsid w:val="00757B1C"/>
    <w:rsid w:val="00757D40"/>
    <w:rsid w:val="007608FC"/>
    <w:rsid w:val="00762844"/>
    <w:rsid w:val="00762E86"/>
    <w:rsid w:val="00763C95"/>
    <w:rsid w:val="007669BF"/>
    <w:rsid w:val="007737D6"/>
    <w:rsid w:val="00774796"/>
    <w:rsid w:val="00775936"/>
    <w:rsid w:val="00776DD5"/>
    <w:rsid w:val="00780E18"/>
    <w:rsid w:val="00781F0F"/>
    <w:rsid w:val="00786DC3"/>
    <w:rsid w:val="0078727C"/>
    <w:rsid w:val="0079049D"/>
    <w:rsid w:val="00791F23"/>
    <w:rsid w:val="00793749"/>
    <w:rsid w:val="00793DC5"/>
    <w:rsid w:val="007A76B3"/>
    <w:rsid w:val="007A773E"/>
    <w:rsid w:val="007B18D8"/>
    <w:rsid w:val="007B1A93"/>
    <w:rsid w:val="007B55D5"/>
    <w:rsid w:val="007C095F"/>
    <w:rsid w:val="007C0E00"/>
    <w:rsid w:val="007C206C"/>
    <w:rsid w:val="007C26C6"/>
    <w:rsid w:val="007C2DD0"/>
    <w:rsid w:val="007C370E"/>
    <w:rsid w:val="007C5CA9"/>
    <w:rsid w:val="007C7250"/>
    <w:rsid w:val="007D1649"/>
    <w:rsid w:val="007D5A3A"/>
    <w:rsid w:val="007E3E29"/>
    <w:rsid w:val="007E7057"/>
    <w:rsid w:val="007F6CB6"/>
    <w:rsid w:val="007F6FF4"/>
    <w:rsid w:val="00800D2C"/>
    <w:rsid w:val="008028A4"/>
    <w:rsid w:val="008050E0"/>
    <w:rsid w:val="00806655"/>
    <w:rsid w:val="00806BCC"/>
    <w:rsid w:val="00813245"/>
    <w:rsid w:val="0081615D"/>
    <w:rsid w:val="00816A8C"/>
    <w:rsid w:val="008171E6"/>
    <w:rsid w:val="008203FE"/>
    <w:rsid w:val="0082251E"/>
    <w:rsid w:val="00826B42"/>
    <w:rsid w:val="008307EB"/>
    <w:rsid w:val="0083340C"/>
    <w:rsid w:val="00834329"/>
    <w:rsid w:val="00840DF3"/>
    <w:rsid w:val="00841E8B"/>
    <w:rsid w:val="0084483F"/>
    <w:rsid w:val="00844AF2"/>
    <w:rsid w:val="00846FAE"/>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9429B"/>
    <w:rsid w:val="00894776"/>
    <w:rsid w:val="00895782"/>
    <w:rsid w:val="008A1B05"/>
    <w:rsid w:val="008B3ACA"/>
    <w:rsid w:val="008B3CC9"/>
    <w:rsid w:val="008B5306"/>
    <w:rsid w:val="008C74B1"/>
    <w:rsid w:val="008D08CB"/>
    <w:rsid w:val="008D0F21"/>
    <w:rsid w:val="008D1BEC"/>
    <w:rsid w:val="008D29CC"/>
    <w:rsid w:val="008D2E4D"/>
    <w:rsid w:val="008D3E4A"/>
    <w:rsid w:val="008D446F"/>
    <w:rsid w:val="008E00FF"/>
    <w:rsid w:val="008E41D4"/>
    <w:rsid w:val="008E4BC7"/>
    <w:rsid w:val="008E4E9B"/>
    <w:rsid w:val="008F1893"/>
    <w:rsid w:val="008F396F"/>
    <w:rsid w:val="008F5FBA"/>
    <w:rsid w:val="00902194"/>
    <w:rsid w:val="0090271F"/>
    <w:rsid w:val="00902DB9"/>
    <w:rsid w:val="0090466A"/>
    <w:rsid w:val="00911238"/>
    <w:rsid w:val="00912F37"/>
    <w:rsid w:val="00916508"/>
    <w:rsid w:val="009178EF"/>
    <w:rsid w:val="009344F5"/>
    <w:rsid w:val="00934EB9"/>
    <w:rsid w:val="00934FC0"/>
    <w:rsid w:val="00936071"/>
    <w:rsid w:val="0093685D"/>
    <w:rsid w:val="00936AE5"/>
    <w:rsid w:val="009375C5"/>
    <w:rsid w:val="00940212"/>
    <w:rsid w:val="009417B8"/>
    <w:rsid w:val="00942EC2"/>
    <w:rsid w:val="009439B2"/>
    <w:rsid w:val="00944967"/>
    <w:rsid w:val="0095157A"/>
    <w:rsid w:val="00952E67"/>
    <w:rsid w:val="00954AF8"/>
    <w:rsid w:val="00961B32"/>
    <w:rsid w:val="00966691"/>
    <w:rsid w:val="00966DEB"/>
    <w:rsid w:val="00966E30"/>
    <w:rsid w:val="00970DB3"/>
    <w:rsid w:val="00974B13"/>
    <w:rsid w:val="00974BB0"/>
    <w:rsid w:val="009765D0"/>
    <w:rsid w:val="0097674C"/>
    <w:rsid w:val="00982CDF"/>
    <w:rsid w:val="00984843"/>
    <w:rsid w:val="00984F6F"/>
    <w:rsid w:val="00986AC6"/>
    <w:rsid w:val="009873A4"/>
    <w:rsid w:val="009970D2"/>
    <w:rsid w:val="009A0AF3"/>
    <w:rsid w:val="009A4AED"/>
    <w:rsid w:val="009A4FB7"/>
    <w:rsid w:val="009B07CD"/>
    <w:rsid w:val="009B19F2"/>
    <w:rsid w:val="009B2D7B"/>
    <w:rsid w:val="009B337E"/>
    <w:rsid w:val="009B3884"/>
    <w:rsid w:val="009B7000"/>
    <w:rsid w:val="009B7011"/>
    <w:rsid w:val="009B7121"/>
    <w:rsid w:val="009C19E9"/>
    <w:rsid w:val="009C2476"/>
    <w:rsid w:val="009C2C22"/>
    <w:rsid w:val="009C3546"/>
    <w:rsid w:val="009D2097"/>
    <w:rsid w:val="009D41FB"/>
    <w:rsid w:val="009D600B"/>
    <w:rsid w:val="009D74A6"/>
    <w:rsid w:val="009E0339"/>
    <w:rsid w:val="009F18B0"/>
    <w:rsid w:val="009F2D07"/>
    <w:rsid w:val="00A0318F"/>
    <w:rsid w:val="00A10F02"/>
    <w:rsid w:val="00A1115F"/>
    <w:rsid w:val="00A151EB"/>
    <w:rsid w:val="00A204CA"/>
    <w:rsid w:val="00A235EB"/>
    <w:rsid w:val="00A2423B"/>
    <w:rsid w:val="00A26B05"/>
    <w:rsid w:val="00A31E01"/>
    <w:rsid w:val="00A351EC"/>
    <w:rsid w:val="00A35482"/>
    <w:rsid w:val="00A40340"/>
    <w:rsid w:val="00A47F8C"/>
    <w:rsid w:val="00A50A8B"/>
    <w:rsid w:val="00A53724"/>
    <w:rsid w:val="00A5665B"/>
    <w:rsid w:val="00A568AE"/>
    <w:rsid w:val="00A6488F"/>
    <w:rsid w:val="00A7114B"/>
    <w:rsid w:val="00A73AC5"/>
    <w:rsid w:val="00A76D58"/>
    <w:rsid w:val="00A82082"/>
    <w:rsid w:val="00A82346"/>
    <w:rsid w:val="00A8556C"/>
    <w:rsid w:val="00A90164"/>
    <w:rsid w:val="00A9185A"/>
    <w:rsid w:val="00A9240E"/>
    <w:rsid w:val="00A94EB8"/>
    <w:rsid w:val="00A9671C"/>
    <w:rsid w:val="00AA1553"/>
    <w:rsid w:val="00AA6373"/>
    <w:rsid w:val="00AA697F"/>
    <w:rsid w:val="00AB7714"/>
    <w:rsid w:val="00AC3917"/>
    <w:rsid w:val="00AD5F89"/>
    <w:rsid w:val="00AD793D"/>
    <w:rsid w:val="00AE2112"/>
    <w:rsid w:val="00AE4679"/>
    <w:rsid w:val="00AF1675"/>
    <w:rsid w:val="00AF199D"/>
    <w:rsid w:val="00AF5CC7"/>
    <w:rsid w:val="00AF6889"/>
    <w:rsid w:val="00AF6C5D"/>
    <w:rsid w:val="00B00B26"/>
    <w:rsid w:val="00B05962"/>
    <w:rsid w:val="00B15449"/>
    <w:rsid w:val="00B15949"/>
    <w:rsid w:val="00B20706"/>
    <w:rsid w:val="00B228F7"/>
    <w:rsid w:val="00B25010"/>
    <w:rsid w:val="00B26CA9"/>
    <w:rsid w:val="00B27303"/>
    <w:rsid w:val="00B34629"/>
    <w:rsid w:val="00B40CB4"/>
    <w:rsid w:val="00B40D16"/>
    <w:rsid w:val="00B44DD2"/>
    <w:rsid w:val="00B4646F"/>
    <w:rsid w:val="00B4753E"/>
    <w:rsid w:val="00B47FD1"/>
    <w:rsid w:val="00B516BB"/>
    <w:rsid w:val="00B54FCB"/>
    <w:rsid w:val="00B55145"/>
    <w:rsid w:val="00B568FD"/>
    <w:rsid w:val="00B5736A"/>
    <w:rsid w:val="00B6026F"/>
    <w:rsid w:val="00B706CD"/>
    <w:rsid w:val="00B76AB1"/>
    <w:rsid w:val="00B76E87"/>
    <w:rsid w:val="00B840DA"/>
    <w:rsid w:val="00B90649"/>
    <w:rsid w:val="00B91A33"/>
    <w:rsid w:val="00B947C0"/>
    <w:rsid w:val="00B95523"/>
    <w:rsid w:val="00BA0C61"/>
    <w:rsid w:val="00BA1063"/>
    <w:rsid w:val="00BA3A5D"/>
    <w:rsid w:val="00BA7876"/>
    <w:rsid w:val="00BB0B22"/>
    <w:rsid w:val="00BB4E4B"/>
    <w:rsid w:val="00BB73A9"/>
    <w:rsid w:val="00BC0203"/>
    <w:rsid w:val="00BC035B"/>
    <w:rsid w:val="00BC3555"/>
    <w:rsid w:val="00BC4D38"/>
    <w:rsid w:val="00BD398E"/>
    <w:rsid w:val="00BE031B"/>
    <w:rsid w:val="00BE2478"/>
    <w:rsid w:val="00BE4268"/>
    <w:rsid w:val="00BF2586"/>
    <w:rsid w:val="00BF629E"/>
    <w:rsid w:val="00BF6596"/>
    <w:rsid w:val="00C019C0"/>
    <w:rsid w:val="00C04CD9"/>
    <w:rsid w:val="00C05B5E"/>
    <w:rsid w:val="00C10D49"/>
    <w:rsid w:val="00C12B51"/>
    <w:rsid w:val="00C132A5"/>
    <w:rsid w:val="00C1497E"/>
    <w:rsid w:val="00C2453E"/>
    <w:rsid w:val="00C24650"/>
    <w:rsid w:val="00C27634"/>
    <w:rsid w:val="00C31894"/>
    <w:rsid w:val="00C31BA3"/>
    <w:rsid w:val="00C33079"/>
    <w:rsid w:val="00C34CC6"/>
    <w:rsid w:val="00C3548B"/>
    <w:rsid w:val="00C418B7"/>
    <w:rsid w:val="00C41AFF"/>
    <w:rsid w:val="00C44D50"/>
    <w:rsid w:val="00C52334"/>
    <w:rsid w:val="00C55079"/>
    <w:rsid w:val="00C639BE"/>
    <w:rsid w:val="00C709B6"/>
    <w:rsid w:val="00C71BAC"/>
    <w:rsid w:val="00C7345E"/>
    <w:rsid w:val="00C73CFF"/>
    <w:rsid w:val="00C74537"/>
    <w:rsid w:val="00C826CF"/>
    <w:rsid w:val="00C82B37"/>
    <w:rsid w:val="00C83A13"/>
    <w:rsid w:val="00C864F5"/>
    <w:rsid w:val="00C9068C"/>
    <w:rsid w:val="00C91034"/>
    <w:rsid w:val="00C92967"/>
    <w:rsid w:val="00C93A18"/>
    <w:rsid w:val="00C9650D"/>
    <w:rsid w:val="00CA3D0C"/>
    <w:rsid w:val="00CA654B"/>
    <w:rsid w:val="00CA7962"/>
    <w:rsid w:val="00CB5D92"/>
    <w:rsid w:val="00CB6A74"/>
    <w:rsid w:val="00CB6F5B"/>
    <w:rsid w:val="00CD4C7B"/>
    <w:rsid w:val="00CD5795"/>
    <w:rsid w:val="00CD7707"/>
    <w:rsid w:val="00CE1681"/>
    <w:rsid w:val="00CE29EF"/>
    <w:rsid w:val="00CE2CEE"/>
    <w:rsid w:val="00CE5D7F"/>
    <w:rsid w:val="00CE6889"/>
    <w:rsid w:val="00CE75DF"/>
    <w:rsid w:val="00CE7ABA"/>
    <w:rsid w:val="00CF3640"/>
    <w:rsid w:val="00D05935"/>
    <w:rsid w:val="00D145BC"/>
    <w:rsid w:val="00D1632C"/>
    <w:rsid w:val="00D17979"/>
    <w:rsid w:val="00D26182"/>
    <w:rsid w:val="00D3050D"/>
    <w:rsid w:val="00D31234"/>
    <w:rsid w:val="00D32476"/>
    <w:rsid w:val="00D33BE3"/>
    <w:rsid w:val="00D36096"/>
    <w:rsid w:val="00D3792D"/>
    <w:rsid w:val="00D37F6C"/>
    <w:rsid w:val="00D40C2E"/>
    <w:rsid w:val="00D43A23"/>
    <w:rsid w:val="00D44374"/>
    <w:rsid w:val="00D4691D"/>
    <w:rsid w:val="00D47E35"/>
    <w:rsid w:val="00D504CD"/>
    <w:rsid w:val="00D55E47"/>
    <w:rsid w:val="00D57DAC"/>
    <w:rsid w:val="00D6053F"/>
    <w:rsid w:val="00D609A0"/>
    <w:rsid w:val="00D60FCC"/>
    <w:rsid w:val="00D62E19"/>
    <w:rsid w:val="00D62F8A"/>
    <w:rsid w:val="00D64929"/>
    <w:rsid w:val="00D65E4C"/>
    <w:rsid w:val="00D666B2"/>
    <w:rsid w:val="00D67CD1"/>
    <w:rsid w:val="00D70657"/>
    <w:rsid w:val="00D738D6"/>
    <w:rsid w:val="00D80795"/>
    <w:rsid w:val="00D82F3F"/>
    <w:rsid w:val="00D854BE"/>
    <w:rsid w:val="00D87E00"/>
    <w:rsid w:val="00D90DD0"/>
    <w:rsid w:val="00D9134D"/>
    <w:rsid w:val="00D93216"/>
    <w:rsid w:val="00D9403B"/>
    <w:rsid w:val="00D96D11"/>
    <w:rsid w:val="00DA0B9E"/>
    <w:rsid w:val="00DA48EA"/>
    <w:rsid w:val="00DA5157"/>
    <w:rsid w:val="00DA5F0A"/>
    <w:rsid w:val="00DA7A03"/>
    <w:rsid w:val="00DB0427"/>
    <w:rsid w:val="00DB06E4"/>
    <w:rsid w:val="00DB0DB8"/>
    <w:rsid w:val="00DB1818"/>
    <w:rsid w:val="00DB42E7"/>
    <w:rsid w:val="00DB51E7"/>
    <w:rsid w:val="00DC04F9"/>
    <w:rsid w:val="00DC08C5"/>
    <w:rsid w:val="00DC309B"/>
    <w:rsid w:val="00DC4DA2"/>
    <w:rsid w:val="00DD3638"/>
    <w:rsid w:val="00DE2EDA"/>
    <w:rsid w:val="00DE321C"/>
    <w:rsid w:val="00DE664A"/>
    <w:rsid w:val="00DF08BC"/>
    <w:rsid w:val="00DF3416"/>
    <w:rsid w:val="00DF3511"/>
    <w:rsid w:val="00DF4378"/>
    <w:rsid w:val="00DF69B8"/>
    <w:rsid w:val="00E06BE0"/>
    <w:rsid w:val="00E07D0B"/>
    <w:rsid w:val="00E114CF"/>
    <w:rsid w:val="00E11A41"/>
    <w:rsid w:val="00E12597"/>
    <w:rsid w:val="00E14F1B"/>
    <w:rsid w:val="00E2155D"/>
    <w:rsid w:val="00E36531"/>
    <w:rsid w:val="00E4250B"/>
    <w:rsid w:val="00E428AC"/>
    <w:rsid w:val="00E429B9"/>
    <w:rsid w:val="00E44041"/>
    <w:rsid w:val="00E45918"/>
    <w:rsid w:val="00E46E90"/>
    <w:rsid w:val="00E471CF"/>
    <w:rsid w:val="00E50B8A"/>
    <w:rsid w:val="00E53CA3"/>
    <w:rsid w:val="00E54510"/>
    <w:rsid w:val="00E56643"/>
    <w:rsid w:val="00E569D6"/>
    <w:rsid w:val="00E56FD9"/>
    <w:rsid w:val="00E62835"/>
    <w:rsid w:val="00E70886"/>
    <w:rsid w:val="00E77645"/>
    <w:rsid w:val="00E818D8"/>
    <w:rsid w:val="00E82E1E"/>
    <w:rsid w:val="00E83697"/>
    <w:rsid w:val="00E97623"/>
    <w:rsid w:val="00EA1721"/>
    <w:rsid w:val="00EA1FA4"/>
    <w:rsid w:val="00EA3AB0"/>
    <w:rsid w:val="00EA65CB"/>
    <w:rsid w:val="00EB0AF6"/>
    <w:rsid w:val="00EB4383"/>
    <w:rsid w:val="00EB4DD7"/>
    <w:rsid w:val="00EC1527"/>
    <w:rsid w:val="00EC1F5F"/>
    <w:rsid w:val="00EC404A"/>
    <w:rsid w:val="00EC4A25"/>
    <w:rsid w:val="00ED1E19"/>
    <w:rsid w:val="00ED45BC"/>
    <w:rsid w:val="00ED6037"/>
    <w:rsid w:val="00EE4F28"/>
    <w:rsid w:val="00EE5772"/>
    <w:rsid w:val="00EF2481"/>
    <w:rsid w:val="00EF31F5"/>
    <w:rsid w:val="00EF65E9"/>
    <w:rsid w:val="00F025A2"/>
    <w:rsid w:val="00F03B62"/>
    <w:rsid w:val="00F04CF5"/>
    <w:rsid w:val="00F0501F"/>
    <w:rsid w:val="00F07388"/>
    <w:rsid w:val="00F07E60"/>
    <w:rsid w:val="00F10B28"/>
    <w:rsid w:val="00F13B63"/>
    <w:rsid w:val="00F151AA"/>
    <w:rsid w:val="00F2026E"/>
    <w:rsid w:val="00F2210A"/>
    <w:rsid w:val="00F23F84"/>
    <w:rsid w:val="00F258E8"/>
    <w:rsid w:val="00F27EC4"/>
    <w:rsid w:val="00F34BBB"/>
    <w:rsid w:val="00F37743"/>
    <w:rsid w:val="00F41B4E"/>
    <w:rsid w:val="00F4250A"/>
    <w:rsid w:val="00F44AFE"/>
    <w:rsid w:val="00F50CF2"/>
    <w:rsid w:val="00F5196E"/>
    <w:rsid w:val="00F521E9"/>
    <w:rsid w:val="00F530E9"/>
    <w:rsid w:val="00F535E2"/>
    <w:rsid w:val="00F54A3D"/>
    <w:rsid w:val="00F54CB0"/>
    <w:rsid w:val="00F56CA9"/>
    <w:rsid w:val="00F653B8"/>
    <w:rsid w:val="00F71B89"/>
    <w:rsid w:val="00F71D1E"/>
    <w:rsid w:val="00F71F52"/>
    <w:rsid w:val="00F7353C"/>
    <w:rsid w:val="00F76F8F"/>
    <w:rsid w:val="00F85AE7"/>
    <w:rsid w:val="00F9324A"/>
    <w:rsid w:val="00F941DF"/>
    <w:rsid w:val="00FA1266"/>
    <w:rsid w:val="00FA30C4"/>
    <w:rsid w:val="00FB0ECE"/>
    <w:rsid w:val="00FB228D"/>
    <w:rsid w:val="00FB36FA"/>
    <w:rsid w:val="00FB6874"/>
    <w:rsid w:val="00FB6AE2"/>
    <w:rsid w:val="00FC1192"/>
    <w:rsid w:val="00FC5DFE"/>
    <w:rsid w:val="00FC640D"/>
    <w:rsid w:val="00FD2F69"/>
    <w:rsid w:val="00FD7243"/>
    <w:rsid w:val="00FE251B"/>
    <w:rsid w:val="00FE4EAC"/>
    <w:rsid w:val="00FE65FC"/>
    <w:rsid w:val="00FE6F36"/>
    <w:rsid w:val="00FF26B8"/>
    <w:rsid w:val="00FF45C1"/>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D443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37441F-A84B-4F0E-821F-A2A82B945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921</Words>
  <Characters>5254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Fasil Abdul Latheef/Modem Commercialization /SRI-Bangalore/Staff Engineer/삼성전자</cp:lastModifiedBy>
  <cp:revision>2</cp:revision>
  <dcterms:created xsi:type="dcterms:W3CDTF">2019-05-03T05:27:00Z</dcterms:created>
  <dcterms:modified xsi:type="dcterms:W3CDTF">2019-05-03T05:27:00Z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